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C77B67" w:rsidRDefault="00C77B67">
      <w:pPr>
        <w:rPr>
          <w:rFonts w:ascii="仿宋" w:eastAsia="仿宋" w:hAnsi="仿宋" w:hint="eastAsia"/>
          <w:color w:val="000000" w:themeColor="text1"/>
          <w:sz w:val="84"/>
          <w:szCs w:val="84"/>
          <w:u w:val="single"/>
        </w:rPr>
      </w:pPr>
    </w:p>
    <w:p w:rsidR="00C77B67" w:rsidRDefault="00C77B67">
      <w:pPr>
        <w:rPr>
          <w:rFonts w:ascii="仿宋" w:eastAsia="仿宋" w:hAnsi="仿宋" w:hint="eastAsia"/>
          <w:color w:val="000000" w:themeColor="text1"/>
          <w:sz w:val="84"/>
          <w:szCs w:val="84"/>
          <w:u w:val="single"/>
        </w:rPr>
      </w:pPr>
    </w:p>
    <w:p w:rsidR="00C77B67" w:rsidRDefault="00C77B67">
      <w:pPr>
        <w:rPr>
          <w:rFonts w:ascii="仿宋" w:eastAsia="仿宋" w:hAnsi="仿宋" w:hint="eastAsia"/>
          <w:color w:val="000000" w:themeColor="text1"/>
          <w:sz w:val="84"/>
          <w:szCs w:val="84"/>
          <w:u w:val="single"/>
        </w:rPr>
      </w:pPr>
    </w:p>
    <w:p w:rsidR="00C77B67" w:rsidRDefault="00C77B67">
      <w:pPr>
        <w:rPr>
          <w:rFonts w:ascii="仿宋" w:eastAsia="仿宋" w:hAnsi="仿宋" w:hint="eastAsia"/>
          <w:color w:val="000000" w:themeColor="text1"/>
          <w:sz w:val="84"/>
          <w:szCs w:val="84"/>
          <w:u w:val="single"/>
        </w:rPr>
      </w:pPr>
    </w:p>
    <w:p w:rsidR="00C77B67" w:rsidRDefault="00000000">
      <w:pPr>
        <w:jc w:val="center"/>
        <w:rPr>
          <w:rFonts w:asciiTheme="majorEastAsia" w:eastAsiaTheme="majorEastAsia" w:hAnsiTheme="majorEastAsia" w:hint="eastAsia"/>
          <w:b/>
          <w:color w:val="000000" w:themeColor="text1"/>
          <w:sz w:val="52"/>
          <w:szCs w:val="52"/>
        </w:rPr>
      </w:pPr>
      <w:r>
        <w:rPr>
          <w:rFonts w:asciiTheme="majorEastAsia" w:eastAsiaTheme="majorEastAsia" w:hAnsiTheme="majorEastAsia" w:hint="eastAsia"/>
          <w:b/>
          <w:color w:val="000000" w:themeColor="text1"/>
          <w:sz w:val="52"/>
          <w:szCs w:val="52"/>
        </w:rPr>
        <w:t>2023年海南师范大学（本级）预算</w:t>
      </w:r>
    </w:p>
    <w:p w:rsidR="00C77B67" w:rsidRDefault="00C77B67">
      <w:pPr>
        <w:ind w:firstLine="1680"/>
        <w:jc w:val="center"/>
        <w:rPr>
          <w:rFonts w:ascii="仿宋" w:eastAsia="仿宋" w:hAnsi="仿宋" w:hint="eastAsia"/>
          <w:b/>
          <w:color w:val="000000" w:themeColor="text1"/>
          <w:sz w:val="84"/>
          <w:szCs w:val="84"/>
        </w:rPr>
      </w:pPr>
    </w:p>
    <w:p w:rsidR="00C77B67" w:rsidRDefault="00C77B67">
      <w:pPr>
        <w:ind w:firstLine="1680"/>
        <w:jc w:val="center"/>
        <w:rPr>
          <w:rFonts w:ascii="仿宋" w:eastAsia="仿宋" w:hAnsi="仿宋" w:hint="eastAsia"/>
          <w:color w:val="000000" w:themeColor="text1"/>
          <w:sz w:val="84"/>
          <w:szCs w:val="84"/>
        </w:rPr>
      </w:pPr>
    </w:p>
    <w:p w:rsidR="00C77B67" w:rsidRDefault="00C77B67">
      <w:pPr>
        <w:ind w:firstLine="1680"/>
        <w:jc w:val="center"/>
        <w:rPr>
          <w:rFonts w:ascii="仿宋" w:eastAsia="仿宋" w:hAnsi="仿宋" w:hint="eastAsia"/>
          <w:color w:val="000000" w:themeColor="text1"/>
          <w:sz w:val="84"/>
          <w:szCs w:val="84"/>
        </w:rPr>
      </w:pPr>
    </w:p>
    <w:p w:rsidR="00C77B67" w:rsidRDefault="00C77B67">
      <w:pPr>
        <w:ind w:firstLine="1680"/>
        <w:jc w:val="center"/>
        <w:rPr>
          <w:rFonts w:ascii="仿宋" w:eastAsia="仿宋" w:hAnsi="仿宋" w:hint="eastAsia"/>
          <w:color w:val="000000" w:themeColor="text1"/>
          <w:sz w:val="84"/>
          <w:szCs w:val="84"/>
        </w:rPr>
      </w:pPr>
    </w:p>
    <w:p w:rsidR="00C77B67" w:rsidRDefault="00C77B67">
      <w:pPr>
        <w:ind w:firstLine="1680"/>
        <w:jc w:val="center"/>
        <w:rPr>
          <w:rFonts w:ascii="仿宋" w:eastAsia="仿宋" w:hAnsi="仿宋" w:hint="eastAsia"/>
          <w:color w:val="000000" w:themeColor="text1"/>
          <w:sz w:val="84"/>
          <w:szCs w:val="84"/>
        </w:rPr>
      </w:pPr>
    </w:p>
    <w:p w:rsidR="00C77B67" w:rsidRDefault="00C77B67">
      <w:pPr>
        <w:rPr>
          <w:rFonts w:ascii="仿宋" w:eastAsia="仿宋" w:hAnsi="仿宋" w:hint="eastAsia"/>
          <w:b/>
          <w:color w:val="000000" w:themeColor="text1"/>
          <w:sz w:val="32"/>
          <w:szCs w:val="32"/>
        </w:rPr>
      </w:pPr>
    </w:p>
    <w:p w:rsidR="00C77B67" w:rsidRDefault="00000000">
      <w:pPr>
        <w:spacing w:line="560" w:lineRule="exact"/>
        <w:jc w:val="center"/>
        <w:rPr>
          <w:rFonts w:ascii="仿宋" w:eastAsia="仿宋" w:hAnsi="仿宋" w:hint="eastAsia"/>
          <w:color w:val="000000" w:themeColor="text1"/>
          <w:sz w:val="52"/>
          <w:szCs w:val="52"/>
        </w:rPr>
      </w:pPr>
      <w:r>
        <w:rPr>
          <w:rFonts w:ascii="仿宋" w:eastAsia="仿宋" w:hAnsi="仿宋" w:hint="eastAsia"/>
          <w:color w:val="000000" w:themeColor="text1"/>
          <w:sz w:val="52"/>
          <w:szCs w:val="52"/>
        </w:rPr>
        <w:lastRenderedPageBreak/>
        <w:t>目    录</w:t>
      </w:r>
    </w:p>
    <w:p w:rsidR="00C77B67" w:rsidRDefault="00C77B67">
      <w:pPr>
        <w:spacing w:line="560" w:lineRule="exact"/>
        <w:jc w:val="center"/>
        <w:rPr>
          <w:rFonts w:ascii="仿宋" w:eastAsia="仿宋" w:hAnsi="仿宋" w:hint="eastAsia"/>
          <w:color w:val="000000" w:themeColor="text1"/>
          <w:sz w:val="52"/>
          <w:szCs w:val="52"/>
        </w:rPr>
      </w:pPr>
    </w:p>
    <w:p w:rsidR="00C77B67" w:rsidRDefault="00C77B67">
      <w:pPr>
        <w:spacing w:line="560" w:lineRule="exact"/>
        <w:jc w:val="center"/>
        <w:rPr>
          <w:rFonts w:ascii="仿宋" w:eastAsia="仿宋" w:hAnsi="仿宋" w:hint="eastAsia"/>
          <w:color w:val="000000" w:themeColor="text1"/>
          <w:sz w:val="52"/>
          <w:szCs w:val="52"/>
        </w:rPr>
      </w:pPr>
    </w:p>
    <w:p w:rsidR="00C77B67" w:rsidRDefault="00000000">
      <w:pPr>
        <w:pStyle w:val="1"/>
        <w:numPr>
          <w:ilvl w:val="0"/>
          <w:numId w:val="1"/>
        </w:numPr>
        <w:ind w:firstLineChars="0" w:hanging="2030"/>
        <w:jc w:val="left"/>
        <w:rPr>
          <w:rFonts w:ascii="黑体" w:eastAsia="黑体" w:hAnsi="黑体" w:hint="eastAsia"/>
          <w:b/>
          <w:color w:val="000000" w:themeColor="text1"/>
          <w:sz w:val="32"/>
          <w:szCs w:val="32"/>
        </w:rPr>
      </w:pPr>
      <w:r>
        <w:rPr>
          <w:rFonts w:ascii="黑体" w:eastAsia="黑体" w:hAnsi="黑体" w:hint="eastAsia"/>
          <w:b/>
          <w:color w:val="000000" w:themeColor="text1"/>
          <w:sz w:val="32"/>
          <w:szCs w:val="32"/>
        </w:rPr>
        <w:t>海南师范大学（本级）概况</w:t>
      </w:r>
    </w:p>
    <w:p w:rsidR="00C77B67" w:rsidRDefault="00000000">
      <w:pPr>
        <w:pStyle w:val="1"/>
        <w:numPr>
          <w:ilvl w:val="0"/>
          <w:numId w:val="2"/>
        </w:numPr>
        <w:ind w:firstLineChars="0"/>
        <w:jc w:val="left"/>
        <w:rPr>
          <w:rFonts w:ascii="黑体" w:eastAsia="黑体" w:hAnsi="黑体" w:hint="eastAsia"/>
          <w:sz w:val="32"/>
          <w:szCs w:val="32"/>
        </w:rPr>
      </w:pPr>
      <w:r>
        <w:rPr>
          <w:rFonts w:ascii="仿宋" w:eastAsia="仿宋" w:hAnsi="仿宋" w:hint="eastAsia"/>
          <w:color w:val="000000" w:themeColor="text1"/>
          <w:sz w:val="32"/>
          <w:szCs w:val="32"/>
        </w:rPr>
        <w:t>主要职能</w:t>
      </w:r>
    </w:p>
    <w:p w:rsidR="00C77B67" w:rsidRDefault="00000000">
      <w:pPr>
        <w:pStyle w:val="ae"/>
        <w:ind w:firstLineChars="0" w:firstLine="0"/>
        <w:jc w:val="left"/>
        <w:rPr>
          <w:rFonts w:ascii="仿宋" w:eastAsia="仿宋" w:hAnsi="仿宋" w:hint="eastAsia"/>
          <w:color w:val="000000" w:themeColor="text1"/>
          <w:sz w:val="32"/>
          <w:szCs w:val="32"/>
        </w:rPr>
      </w:pPr>
      <w:r>
        <w:rPr>
          <w:rFonts w:ascii="仿宋" w:eastAsia="仿宋" w:hAnsi="仿宋" w:hint="eastAsia"/>
          <w:color w:val="000000" w:themeColor="text1"/>
          <w:sz w:val="32"/>
          <w:szCs w:val="32"/>
        </w:rPr>
        <w:t>二、部门预算单位构成（单位公开没有这部分内容）</w:t>
      </w:r>
    </w:p>
    <w:p w:rsidR="00C77B67" w:rsidRDefault="00000000">
      <w:pPr>
        <w:pStyle w:val="1"/>
        <w:numPr>
          <w:ilvl w:val="0"/>
          <w:numId w:val="1"/>
        </w:numPr>
        <w:ind w:firstLineChars="0" w:hanging="2030"/>
        <w:jc w:val="left"/>
        <w:rPr>
          <w:rFonts w:asciiTheme="majorEastAsia" w:eastAsiaTheme="majorEastAsia" w:hAnsiTheme="majorEastAsia" w:hint="eastAsia"/>
          <w:b/>
          <w:color w:val="000000" w:themeColor="text1"/>
          <w:sz w:val="32"/>
          <w:szCs w:val="32"/>
        </w:rPr>
      </w:pPr>
      <w:r>
        <w:rPr>
          <w:rFonts w:ascii="黑体" w:eastAsia="黑体" w:hAnsi="黑体" w:hint="eastAsia"/>
          <w:b/>
          <w:color w:val="000000" w:themeColor="text1"/>
          <w:sz w:val="32"/>
          <w:szCs w:val="32"/>
        </w:rPr>
        <w:t>海南师范大学（本级）</w:t>
      </w:r>
      <w:r>
        <w:rPr>
          <w:rFonts w:ascii="黑体" w:eastAsia="黑体" w:hAnsi="黑体"/>
          <w:b/>
          <w:color w:val="000000" w:themeColor="text1"/>
          <w:sz w:val="32"/>
          <w:szCs w:val="32"/>
        </w:rPr>
        <w:t>2023</w:t>
      </w:r>
      <w:r>
        <w:rPr>
          <w:rFonts w:ascii="黑体" w:eastAsia="黑体" w:hAnsi="黑体" w:hint="eastAsia"/>
          <w:b/>
          <w:color w:val="000000" w:themeColor="text1"/>
          <w:sz w:val="32"/>
          <w:szCs w:val="32"/>
        </w:rPr>
        <w:t>年预算表</w:t>
      </w:r>
    </w:p>
    <w:p w:rsidR="00C77B67" w:rsidRDefault="00000000">
      <w:pPr>
        <w:pStyle w:val="1"/>
        <w:numPr>
          <w:ilvl w:val="0"/>
          <w:numId w:val="3"/>
        </w:numPr>
        <w:ind w:firstLineChars="0"/>
        <w:jc w:val="left"/>
        <w:rPr>
          <w:rFonts w:ascii="仿宋" w:eastAsia="仿宋" w:hAnsi="仿宋" w:hint="eastAsia"/>
          <w:color w:val="000000" w:themeColor="text1"/>
          <w:sz w:val="32"/>
          <w:szCs w:val="32"/>
        </w:rPr>
      </w:pPr>
      <w:r>
        <w:rPr>
          <w:rFonts w:ascii="仿宋" w:eastAsia="仿宋" w:hAnsi="仿宋" w:hint="eastAsia"/>
          <w:color w:val="000000" w:themeColor="text1"/>
          <w:sz w:val="32"/>
          <w:szCs w:val="32"/>
        </w:rPr>
        <w:t>财政拨款收支总表</w:t>
      </w:r>
    </w:p>
    <w:p w:rsidR="00C77B67" w:rsidRDefault="00000000">
      <w:pPr>
        <w:pStyle w:val="1"/>
        <w:numPr>
          <w:ilvl w:val="0"/>
          <w:numId w:val="3"/>
        </w:numPr>
        <w:ind w:firstLineChars="0"/>
        <w:rPr>
          <w:rFonts w:ascii="仿宋" w:eastAsia="仿宋" w:hAnsi="仿宋" w:hint="eastAsia"/>
          <w:color w:val="000000" w:themeColor="text1"/>
          <w:sz w:val="32"/>
          <w:szCs w:val="32"/>
        </w:rPr>
      </w:pPr>
      <w:r>
        <w:rPr>
          <w:rFonts w:ascii="仿宋" w:eastAsia="仿宋" w:hAnsi="仿宋" w:hint="eastAsia"/>
          <w:color w:val="000000" w:themeColor="text1"/>
          <w:sz w:val="32"/>
          <w:szCs w:val="32"/>
        </w:rPr>
        <w:t>一般公共预算支出表</w:t>
      </w:r>
    </w:p>
    <w:p w:rsidR="00C77B67" w:rsidRDefault="00000000">
      <w:pPr>
        <w:pStyle w:val="1"/>
        <w:numPr>
          <w:ilvl w:val="0"/>
          <w:numId w:val="3"/>
        </w:numPr>
        <w:ind w:firstLineChars="0"/>
        <w:rPr>
          <w:rFonts w:ascii="仿宋" w:eastAsia="仿宋" w:hAnsi="仿宋" w:hint="eastAsia"/>
          <w:color w:val="000000" w:themeColor="text1"/>
          <w:sz w:val="32"/>
          <w:szCs w:val="32"/>
        </w:rPr>
      </w:pPr>
      <w:r>
        <w:rPr>
          <w:rFonts w:ascii="仿宋" w:eastAsia="仿宋" w:hAnsi="仿宋" w:hint="eastAsia"/>
          <w:color w:val="000000" w:themeColor="text1"/>
          <w:sz w:val="32"/>
          <w:szCs w:val="32"/>
        </w:rPr>
        <w:t>一般公共预算基本支出表</w:t>
      </w:r>
    </w:p>
    <w:p w:rsidR="00C77B67" w:rsidRDefault="00000000">
      <w:pPr>
        <w:pStyle w:val="1"/>
        <w:numPr>
          <w:ilvl w:val="0"/>
          <w:numId w:val="3"/>
        </w:numPr>
        <w:ind w:firstLineChars="0"/>
        <w:rPr>
          <w:rFonts w:ascii="仿宋" w:eastAsia="仿宋" w:hAnsi="仿宋" w:hint="eastAsia"/>
          <w:color w:val="000000" w:themeColor="text1"/>
          <w:sz w:val="32"/>
          <w:szCs w:val="32"/>
        </w:rPr>
      </w:pPr>
      <w:r>
        <w:rPr>
          <w:rFonts w:ascii="仿宋" w:eastAsia="仿宋" w:hAnsi="仿宋" w:hint="eastAsia"/>
          <w:color w:val="000000" w:themeColor="text1"/>
          <w:sz w:val="32"/>
          <w:szCs w:val="32"/>
        </w:rPr>
        <w:t>一般公共预算“三公”经费支出表</w:t>
      </w:r>
    </w:p>
    <w:p w:rsidR="00C77B67" w:rsidRDefault="00000000">
      <w:pPr>
        <w:pStyle w:val="1"/>
        <w:numPr>
          <w:ilvl w:val="0"/>
          <w:numId w:val="3"/>
        </w:numPr>
        <w:ind w:firstLineChars="0"/>
        <w:rPr>
          <w:rFonts w:ascii="仿宋" w:eastAsia="仿宋" w:hAnsi="仿宋" w:hint="eastAsia"/>
          <w:color w:val="000000" w:themeColor="text1"/>
          <w:sz w:val="32"/>
          <w:szCs w:val="32"/>
        </w:rPr>
      </w:pPr>
      <w:r>
        <w:rPr>
          <w:rFonts w:ascii="仿宋" w:eastAsia="仿宋" w:hAnsi="仿宋" w:hint="eastAsia"/>
          <w:color w:val="000000" w:themeColor="text1"/>
          <w:sz w:val="32"/>
          <w:szCs w:val="32"/>
        </w:rPr>
        <w:t>政府性基金预算支出表。</w:t>
      </w:r>
    </w:p>
    <w:p w:rsidR="00C77B67" w:rsidRDefault="00000000">
      <w:pPr>
        <w:pStyle w:val="1"/>
        <w:numPr>
          <w:ilvl w:val="0"/>
          <w:numId w:val="3"/>
        </w:numPr>
        <w:ind w:firstLineChars="0"/>
        <w:rPr>
          <w:rFonts w:ascii="仿宋" w:eastAsia="仿宋" w:hAnsi="仿宋" w:hint="eastAsia"/>
          <w:color w:val="000000" w:themeColor="text1"/>
          <w:sz w:val="32"/>
          <w:szCs w:val="32"/>
        </w:rPr>
      </w:pPr>
      <w:r>
        <w:rPr>
          <w:rFonts w:ascii="仿宋" w:eastAsia="仿宋" w:hAnsi="仿宋" w:hint="eastAsia"/>
          <w:color w:val="000000" w:themeColor="text1"/>
          <w:sz w:val="32"/>
          <w:szCs w:val="32"/>
        </w:rPr>
        <w:t>政府性基金预算“三公”经费支出表</w:t>
      </w:r>
    </w:p>
    <w:p w:rsidR="00C77B67" w:rsidRDefault="00000000">
      <w:pPr>
        <w:pStyle w:val="1"/>
        <w:numPr>
          <w:ilvl w:val="0"/>
          <w:numId w:val="3"/>
        </w:numPr>
        <w:ind w:firstLineChars="0"/>
        <w:jc w:val="left"/>
        <w:rPr>
          <w:rFonts w:ascii="仿宋" w:eastAsia="仿宋" w:hAnsi="仿宋" w:hint="eastAsia"/>
          <w:color w:val="000000" w:themeColor="text1"/>
          <w:sz w:val="32"/>
          <w:szCs w:val="32"/>
        </w:rPr>
      </w:pPr>
      <w:r>
        <w:rPr>
          <w:rFonts w:ascii="仿宋" w:eastAsia="仿宋" w:hAnsi="仿宋" w:hint="eastAsia"/>
          <w:color w:val="000000" w:themeColor="text1"/>
          <w:sz w:val="32"/>
          <w:szCs w:val="32"/>
        </w:rPr>
        <w:t>部门（单位）收支总表</w:t>
      </w:r>
    </w:p>
    <w:p w:rsidR="00C77B67" w:rsidRDefault="00000000">
      <w:pPr>
        <w:pStyle w:val="1"/>
        <w:numPr>
          <w:ilvl w:val="0"/>
          <w:numId w:val="3"/>
        </w:numPr>
        <w:ind w:firstLineChars="0"/>
        <w:jc w:val="left"/>
        <w:rPr>
          <w:rFonts w:ascii="仿宋" w:eastAsia="仿宋" w:hAnsi="仿宋" w:hint="eastAsia"/>
          <w:color w:val="000000" w:themeColor="text1"/>
          <w:sz w:val="32"/>
          <w:szCs w:val="32"/>
        </w:rPr>
      </w:pPr>
      <w:r>
        <w:rPr>
          <w:rFonts w:ascii="仿宋" w:eastAsia="仿宋" w:hAnsi="仿宋" w:hint="eastAsia"/>
          <w:color w:val="000000" w:themeColor="text1"/>
          <w:sz w:val="32"/>
          <w:szCs w:val="32"/>
        </w:rPr>
        <w:t>部门（单位）收入总表</w:t>
      </w:r>
    </w:p>
    <w:p w:rsidR="00C77B67" w:rsidRDefault="00000000">
      <w:pPr>
        <w:pStyle w:val="1"/>
        <w:numPr>
          <w:ilvl w:val="0"/>
          <w:numId w:val="3"/>
        </w:numPr>
        <w:ind w:firstLineChars="0"/>
        <w:jc w:val="left"/>
        <w:rPr>
          <w:rFonts w:ascii="仿宋" w:eastAsia="仿宋" w:hAnsi="仿宋" w:hint="eastAsia"/>
          <w:color w:val="000000" w:themeColor="text1"/>
          <w:sz w:val="32"/>
          <w:szCs w:val="32"/>
        </w:rPr>
      </w:pPr>
      <w:r>
        <w:rPr>
          <w:rFonts w:ascii="仿宋" w:eastAsia="仿宋" w:hAnsi="仿宋" w:hint="eastAsia"/>
          <w:color w:val="000000" w:themeColor="text1"/>
          <w:sz w:val="32"/>
          <w:szCs w:val="32"/>
        </w:rPr>
        <w:t>部门</w:t>
      </w:r>
      <w:r>
        <w:rPr>
          <w:rFonts w:ascii="仿宋" w:eastAsia="仿宋" w:hAnsi="仿宋" w:cs="仿宋_GB2312" w:hint="eastAsia"/>
          <w:color w:val="000000" w:themeColor="text1"/>
          <w:sz w:val="32"/>
          <w:szCs w:val="32"/>
        </w:rPr>
        <w:t>（</w:t>
      </w:r>
      <w:r>
        <w:rPr>
          <w:rFonts w:ascii="仿宋" w:eastAsia="仿宋" w:hAnsi="仿宋" w:hint="eastAsia"/>
          <w:color w:val="000000" w:themeColor="text1"/>
          <w:sz w:val="32"/>
          <w:szCs w:val="32"/>
        </w:rPr>
        <w:t>单位）支出总表</w:t>
      </w:r>
    </w:p>
    <w:p w:rsidR="00C77B67" w:rsidRDefault="00000000">
      <w:pPr>
        <w:pStyle w:val="1"/>
        <w:ind w:firstLineChars="0" w:firstLine="0"/>
        <w:jc w:val="left"/>
        <w:rPr>
          <w:rFonts w:ascii="仿宋" w:eastAsia="仿宋" w:hAnsi="仿宋" w:hint="eastAsia"/>
          <w:color w:val="000000" w:themeColor="text1"/>
          <w:sz w:val="32"/>
          <w:szCs w:val="32"/>
        </w:rPr>
      </w:pPr>
      <w:r>
        <w:rPr>
          <w:rFonts w:ascii="仿宋" w:eastAsia="仿宋" w:hAnsi="仿宋" w:hint="eastAsia"/>
          <w:color w:val="000000" w:themeColor="text1"/>
          <w:sz w:val="32"/>
          <w:szCs w:val="32"/>
        </w:rPr>
        <w:t>十、项目支出绩效信息</w:t>
      </w:r>
      <w:r>
        <w:rPr>
          <w:rFonts w:ascii="仿宋" w:eastAsia="仿宋" w:hAnsi="仿宋" w:cs="仿宋_GB2312" w:hint="eastAsia"/>
          <w:color w:val="000000" w:themeColor="text1"/>
          <w:sz w:val="32"/>
          <w:szCs w:val="32"/>
        </w:rPr>
        <w:t>表</w:t>
      </w:r>
    </w:p>
    <w:p w:rsidR="00C77B67" w:rsidRDefault="00000000">
      <w:pPr>
        <w:pStyle w:val="1"/>
        <w:numPr>
          <w:ilvl w:val="0"/>
          <w:numId w:val="1"/>
        </w:numPr>
        <w:ind w:firstLineChars="0" w:hanging="2030"/>
        <w:jc w:val="left"/>
        <w:rPr>
          <w:rFonts w:ascii="黑体" w:eastAsia="黑体" w:hAnsi="黑体" w:cs="仿宋_GB2312" w:hint="eastAsia"/>
          <w:b/>
          <w:color w:val="000000" w:themeColor="text1"/>
          <w:sz w:val="32"/>
          <w:szCs w:val="32"/>
        </w:rPr>
      </w:pPr>
      <w:r>
        <w:rPr>
          <w:rFonts w:ascii="黑体" w:eastAsia="黑体" w:hAnsi="黑体" w:hint="eastAsia"/>
          <w:b/>
          <w:color w:val="000000" w:themeColor="text1"/>
          <w:sz w:val="32"/>
          <w:szCs w:val="32"/>
        </w:rPr>
        <w:t>海南师范大学（本级）</w:t>
      </w:r>
      <w:r>
        <w:rPr>
          <w:rFonts w:ascii="黑体" w:eastAsia="黑体" w:hAnsi="黑体"/>
          <w:b/>
          <w:color w:val="000000" w:themeColor="text1"/>
          <w:sz w:val="32"/>
          <w:szCs w:val="32"/>
        </w:rPr>
        <w:t>2023</w:t>
      </w:r>
      <w:r>
        <w:rPr>
          <w:rFonts w:ascii="黑体" w:eastAsia="黑体" w:hAnsi="黑体" w:hint="eastAsia"/>
          <w:b/>
          <w:color w:val="000000" w:themeColor="text1"/>
          <w:sz w:val="32"/>
          <w:szCs w:val="32"/>
        </w:rPr>
        <w:t>年预算情况说明</w:t>
      </w:r>
    </w:p>
    <w:p w:rsidR="00C77B67" w:rsidRDefault="00000000">
      <w:pPr>
        <w:pStyle w:val="1"/>
        <w:numPr>
          <w:ilvl w:val="0"/>
          <w:numId w:val="1"/>
        </w:numPr>
        <w:ind w:firstLineChars="0" w:hanging="2030"/>
        <w:jc w:val="left"/>
        <w:rPr>
          <w:rFonts w:ascii="黑体" w:eastAsia="黑体" w:hAnsi="黑体" w:hint="eastAsia"/>
          <w:b/>
          <w:color w:val="000000" w:themeColor="text1"/>
          <w:sz w:val="32"/>
          <w:szCs w:val="32"/>
        </w:rPr>
      </w:pPr>
      <w:r>
        <w:rPr>
          <w:rFonts w:ascii="黑体" w:eastAsia="黑体" w:hAnsi="黑体" w:hint="eastAsia"/>
          <w:b/>
          <w:color w:val="000000" w:themeColor="text1"/>
          <w:sz w:val="32"/>
          <w:szCs w:val="32"/>
        </w:rPr>
        <w:t>名词解释</w:t>
      </w:r>
    </w:p>
    <w:p w:rsidR="00C77B67" w:rsidRDefault="00C77B67">
      <w:pPr>
        <w:pStyle w:val="1"/>
        <w:ind w:firstLineChars="580" w:firstLine="1863"/>
        <w:jc w:val="center"/>
        <w:rPr>
          <w:rFonts w:asciiTheme="minorEastAsia" w:eastAsiaTheme="minorEastAsia" w:hAnsiTheme="minorEastAsia" w:hint="eastAsia"/>
          <w:b/>
          <w:color w:val="000000" w:themeColor="text1"/>
          <w:sz w:val="32"/>
          <w:szCs w:val="32"/>
        </w:rPr>
      </w:pPr>
    </w:p>
    <w:p w:rsidR="00C77B67" w:rsidRDefault="00C77B67">
      <w:pPr>
        <w:pStyle w:val="1"/>
        <w:ind w:firstLineChars="580" w:firstLine="1863"/>
        <w:jc w:val="center"/>
        <w:rPr>
          <w:rFonts w:asciiTheme="minorEastAsia" w:eastAsiaTheme="minorEastAsia" w:hAnsiTheme="minorEastAsia" w:hint="eastAsia"/>
          <w:b/>
          <w:color w:val="000000" w:themeColor="text1"/>
          <w:sz w:val="32"/>
          <w:szCs w:val="32"/>
        </w:rPr>
      </w:pPr>
    </w:p>
    <w:p w:rsidR="00C77B67" w:rsidRDefault="00C77B67">
      <w:pPr>
        <w:pStyle w:val="1"/>
        <w:ind w:firstLineChars="580" w:firstLine="1863"/>
        <w:jc w:val="center"/>
        <w:rPr>
          <w:rFonts w:asciiTheme="minorEastAsia" w:eastAsiaTheme="minorEastAsia" w:hAnsiTheme="minorEastAsia" w:hint="eastAsia"/>
          <w:b/>
          <w:color w:val="000000" w:themeColor="text1"/>
          <w:sz w:val="32"/>
          <w:szCs w:val="32"/>
        </w:rPr>
      </w:pPr>
    </w:p>
    <w:p w:rsidR="00C77B67" w:rsidRDefault="00000000">
      <w:pPr>
        <w:pStyle w:val="1"/>
        <w:ind w:firstLineChars="400" w:firstLine="1285"/>
        <w:rPr>
          <w:rFonts w:ascii="黑体" w:eastAsia="黑体" w:hAnsi="黑体" w:hint="eastAsia"/>
          <w:b/>
          <w:color w:val="000000" w:themeColor="text1"/>
          <w:sz w:val="32"/>
          <w:szCs w:val="32"/>
        </w:rPr>
      </w:pPr>
      <w:r>
        <w:rPr>
          <w:rFonts w:ascii="黑体" w:eastAsia="黑体" w:hAnsi="黑体" w:hint="eastAsia"/>
          <w:b/>
          <w:color w:val="000000" w:themeColor="text1"/>
          <w:sz w:val="32"/>
          <w:szCs w:val="32"/>
        </w:rPr>
        <w:t>第一部分海南师范大学</w:t>
      </w:r>
      <w:r>
        <w:rPr>
          <w:rFonts w:ascii="黑体" w:eastAsia="黑体" w:hAnsi="黑体"/>
          <w:b/>
          <w:color w:val="000000" w:themeColor="text1"/>
          <w:sz w:val="32"/>
          <w:szCs w:val="32"/>
        </w:rPr>
        <w:t>(本级)概况</w:t>
      </w:r>
    </w:p>
    <w:p w:rsidR="00C77B67" w:rsidRDefault="00000000">
      <w:pPr>
        <w:spacing w:line="600" w:lineRule="exact"/>
        <w:ind w:firstLineChars="200" w:firstLine="640"/>
        <w:jc w:val="left"/>
        <w:rPr>
          <w:rFonts w:ascii="仿宋_GB2312" w:eastAsia="仿宋_GB2312" w:hAnsi="仿宋_GB2312" w:cs="仿宋_GB2312" w:hint="eastAsia"/>
          <w:color w:val="000000" w:themeColor="text1"/>
          <w:sz w:val="32"/>
          <w:szCs w:val="32"/>
        </w:rPr>
      </w:pPr>
      <w:r>
        <w:rPr>
          <w:rFonts w:ascii="仿宋_GB2312" w:eastAsia="仿宋_GB2312" w:hAnsi="仿宋_GB2312" w:cs="仿宋_GB2312" w:hint="eastAsia"/>
          <w:color w:val="000000" w:themeColor="text1"/>
          <w:sz w:val="32"/>
          <w:szCs w:val="32"/>
        </w:rPr>
        <w:t>按照预算管理有关规定，目前我校预算编制实行全口径预算制度，我校机构设置有：机关教辅机构35个、群团组织3个、教学单位23个、下属（附属）单位6个。</w:t>
      </w:r>
    </w:p>
    <w:p w:rsidR="00C77B67" w:rsidRDefault="00000000">
      <w:pPr>
        <w:ind w:firstLineChars="200" w:firstLine="643"/>
        <w:rPr>
          <w:rStyle w:val="aa"/>
          <w:rFonts w:ascii="仿宋_GB2312" w:eastAsia="仿宋_GB2312" w:hAnsi="仿宋_GB2312" w:cs="仿宋_GB2312" w:hint="eastAsia"/>
          <w:b w:val="0"/>
          <w:color w:val="000000" w:themeColor="text1"/>
          <w:sz w:val="32"/>
          <w:szCs w:val="32"/>
        </w:rPr>
      </w:pPr>
      <w:r>
        <w:rPr>
          <w:rFonts w:ascii="仿宋_GB2312" w:eastAsia="仿宋_GB2312" w:hAnsi="仿宋_GB2312" w:cs="仿宋_GB2312" w:hint="eastAsia"/>
          <w:b/>
          <w:color w:val="000000" w:themeColor="text1"/>
          <w:sz w:val="32"/>
          <w:szCs w:val="32"/>
        </w:rPr>
        <w:t>一、主要职能</w:t>
      </w:r>
      <w:r>
        <w:rPr>
          <w:rStyle w:val="aa"/>
          <w:rFonts w:ascii="仿宋_GB2312" w:eastAsia="仿宋_GB2312" w:hAnsi="仿宋_GB2312" w:cs="仿宋_GB2312" w:hint="eastAsia"/>
          <w:color w:val="000000" w:themeColor="text1"/>
          <w:sz w:val="32"/>
          <w:szCs w:val="32"/>
        </w:rPr>
        <w:t>   </w:t>
      </w:r>
    </w:p>
    <w:p w:rsidR="00C77B67" w:rsidRDefault="00000000">
      <w:pPr>
        <w:spacing w:line="560" w:lineRule="atLeast"/>
        <w:ind w:firstLineChars="200" w:firstLine="643"/>
        <w:rPr>
          <w:rFonts w:ascii="仿宋_GB2312" w:eastAsia="仿宋_GB2312" w:hAnsi="仿宋_GB2312" w:cs="仿宋_GB2312" w:hint="eastAsia"/>
          <w:color w:val="000000" w:themeColor="text1"/>
          <w:sz w:val="32"/>
          <w:szCs w:val="32"/>
        </w:rPr>
      </w:pPr>
      <w:r>
        <w:rPr>
          <w:rStyle w:val="aa"/>
          <w:rFonts w:ascii="仿宋_GB2312" w:eastAsia="仿宋_GB2312" w:hAnsi="仿宋_GB2312" w:cs="仿宋_GB2312" w:hint="eastAsia"/>
          <w:color w:val="000000" w:themeColor="text1"/>
          <w:sz w:val="32"/>
          <w:szCs w:val="32"/>
        </w:rPr>
        <w:t> </w:t>
      </w:r>
      <w:r>
        <w:rPr>
          <w:rFonts w:ascii="仿宋_GB2312" w:eastAsia="仿宋_GB2312" w:hAnsi="仿宋_GB2312" w:cs="仿宋_GB2312" w:hint="eastAsia"/>
          <w:color w:val="000000" w:themeColor="text1"/>
          <w:sz w:val="32"/>
          <w:szCs w:val="32"/>
        </w:rPr>
        <w:t>（一）部门（单位）职责</w:t>
      </w:r>
    </w:p>
    <w:p w:rsidR="00C77B67" w:rsidRDefault="00000000">
      <w:pPr>
        <w:spacing w:line="560" w:lineRule="atLeast"/>
        <w:ind w:firstLineChars="200" w:firstLine="640"/>
        <w:rPr>
          <w:rFonts w:ascii="仿宋_GB2312" w:eastAsia="仿宋_GB2312" w:hAnsi="仿宋_GB2312" w:cs="仿宋_GB2312" w:hint="eastAsia"/>
          <w:color w:val="000000" w:themeColor="text1"/>
          <w:sz w:val="32"/>
          <w:szCs w:val="32"/>
        </w:rPr>
      </w:pPr>
      <w:r>
        <w:rPr>
          <w:rFonts w:ascii="仿宋_GB2312" w:eastAsia="仿宋_GB2312" w:hAnsi="仿宋_GB2312" w:cs="仿宋_GB2312" w:hint="eastAsia"/>
          <w:color w:val="000000" w:themeColor="text1"/>
          <w:sz w:val="32"/>
          <w:szCs w:val="32"/>
        </w:rPr>
        <w:t>海南师范大学以培养高等学历师资人才，促进教育事 业发展为宗旨，贯彻落实党和国家以及省委、省政府高等 教育工作的有关规定，按照《中华人民共和国高等教育 法》实施高等教育工作，培养高级专业技术人才；承担相 关科学研究、学术交流和科技成果推广转化工作；承担在 职教师培训和成人教育、职业技术教育工作；承办上级部 门交办的其他工作</w:t>
      </w:r>
      <w:r>
        <w:rPr>
          <w:rFonts w:ascii="宋体" w:hAnsi="宋体" w:cs="宋体"/>
          <w:sz w:val="24"/>
          <w:szCs w:val="24"/>
        </w:rPr>
        <w:t>。</w:t>
      </w:r>
    </w:p>
    <w:p w:rsidR="00C77B67" w:rsidRDefault="00000000">
      <w:pPr>
        <w:spacing w:line="600" w:lineRule="exact"/>
        <w:ind w:firstLineChars="200" w:firstLine="640"/>
        <w:jc w:val="left"/>
        <w:rPr>
          <w:rFonts w:ascii="仿宋_GB2312" w:eastAsia="仿宋_GB2312" w:hAnsi="仿宋_GB2312" w:cs="仿宋_GB2312" w:hint="eastAsia"/>
          <w:color w:val="000000" w:themeColor="text1"/>
          <w:sz w:val="32"/>
          <w:szCs w:val="32"/>
        </w:rPr>
      </w:pPr>
      <w:r>
        <w:rPr>
          <w:rFonts w:ascii="仿宋_GB2312" w:eastAsia="仿宋_GB2312" w:hAnsi="仿宋_GB2312" w:cs="仿宋_GB2312" w:hint="eastAsia"/>
          <w:color w:val="000000" w:themeColor="text1"/>
          <w:sz w:val="32"/>
          <w:szCs w:val="32"/>
        </w:rPr>
        <w:t>（二）纳入我校预算编制范围的部门包括：</w:t>
      </w:r>
    </w:p>
    <w:p w:rsidR="00C77B67" w:rsidRDefault="00000000">
      <w:pPr>
        <w:ind w:firstLineChars="200" w:firstLine="640"/>
        <w:rPr>
          <w:rFonts w:ascii="仿宋_GB2312" w:eastAsia="仿宋_GB2312" w:hAnsi="仿宋_GB2312" w:cs="仿宋_GB2312" w:hint="eastAsia"/>
          <w:color w:val="000000" w:themeColor="text1"/>
          <w:sz w:val="32"/>
          <w:szCs w:val="32"/>
        </w:rPr>
      </w:pPr>
      <w:r>
        <w:rPr>
          <w:rFonts w:ascii="仿宋_GB2312" w:eastAsia="仿宋_GB2312" w:hAnsi="仿宋_GB2312" w:cs="仿宋_GB2312" w:hint="eastAsia"/>
          <w:color w:val="000000" w:themeColor="text1"/>
          <w:sz w:val="32"/>
          <w:szCs w:val="32"/>
        </w:rPr>
        <w:t>1.机关教辅单位35个：党政办公室（督查督导办公室）、组织部（离退休工作办公室、机关党委）、宣传部、统战部、人事处（教师工作部）、学生工作部（学生工作处、人民武装部）、纪检监察一处（审计处）、纪检监察二处（巡查工作办公室）、教务处、采购与招投标管理处、后勤管理处（基建处）、国际合作与交流处、国内合作与发展处、财务处（国有资产管理处）、招生就业处（学生创新创业指导中心）、保卫处（应急管理办公室）、图书馆（档</w:t>
      </w:r>
      <w:r>
        <w:rPr>
          <w:rFonts w:ascii="仿宋_GB2312" w:eastAsia="仿宋_GB2312" w:hAnsi="仿宋_GB2312" w:cs="仿宋_GB2312" w:hint="eastAsia"/>
          <w:color w:val="000000" w:themeColor="text1"/>
          <w:sz w:val="32"/>
          <w:szCs w:val="32"/>
        </w:rPr>
        <w:lastRenderedPageBreak/>
        <w:t>案馆、馆藏中心）、学报编辑部、信息网络与数据中心（省教育网络中心、信息办公室）、继续教育学院（高校师资培训中心、职教师资培训中心）、发展规划与学科建设中心、研究生学院（研究生工作部）、海南教育改革与发展研究院（基础教育课程与教学研究基地）、人才服务中心、党委党校、通识教育中心、东坡书院、科学技术院、人文社会科学院、实验室建设与管理中心、非学历教育管理中心、基础教育集团、财务服务中心、教学质量监控与评价中心、创新教育与实践教学中心。</w:t>
      </w:r>
    </w:p>
    <w:p w:rsidR="00C77B67" w:rsidRDefault="00000000">
      <w:pPr>
        <w:spacing w:line="600" w:lineRule="exact"/>
        <w:ind w:firstLineChars="200" w:firstLine="640"/>
        <w:jc w:val="left"/>
        <w:rPr>
          <w:rFonts w:ascii="仿宋_GB2312" w:eastAsia="仿宋_GB2312" w:hAnsi="仿宋_GB2312" w:cs="仿宋_GB2312" w:hint="eastAsia"/>
          <w:color w:val="000000" w:themeColor="text1"/>
          <w:sz w:val="32"/>
          <w:szCs w:val="32"/>
        </w:rPr>
      </w:pPr>
      <w:r>
        <w:rPr>
          <w:rFonts w:ascii="仿宋_GB2312" w:eastAsia="仿宋_GB2312" w:hAnsi="仿宋_GB2312" w:cs="仿宋_GB2312" w:hint="eastAsia"/>
          <w:color w:val="000000" w:themeColor="text1"/>
          <w:sz w:val="32"/>
          <w:szCs w:val="32"/>
        </w:rPr>
        <w:t>2.群团组织3个：教育工会、共青团、妇女联合会。</w:t>
      </w:r>
    </w:p>
    <w:p w:rsidR="00C77B67" w:rsidRDefault="00000000">
      <w:pPr>
        <w:spacing w:line="600" w:lineRule="exact"/>
        <w:ind w:firstLineChars="200" w:firstLine="640"/>
        <w:jc w:val="left"/>
        <w:rPr>
          <w:rFonts w:ascii="仿宋_GB2312" w:eastAsia="仿宋_GB2312" w:hAnsi="仿宋_GB2312" w:cs="仿宋_GB2312" w:hint="eastAsia"/>
          <w:color w:val="000000" w:themeColor="text1"/>
          <w:sz w:val="32"/>
          <w:szCs w:val="32"/>
        </w:rPr>
      </w:pPr>
      <w:r>
        <w:rPr>
          <w:rFonts w:ascii="仿宋_GB2312" w:eastAsia="仿宋_GB2312" w:hAnsi="仿宋_GB2312" w:cs="仿宋_GB2312" w:hint="eastAsia"/>
          <w:color w:val="000000" w:themeColor="text1"/>
          <w:sz w:val="32"/>
          <w:szCs w:val="32"/>
        </w:rPr>
        <w:t>3.教学单位23个学院：初等教育学院、文学院、新闻传播与影视学院、经济与管理学院、音乐学院（民族民间文艺发展中心南海音乐文化研究基地）、美术学院、物理与电子工程学院、信息科学技术学院、化学与化工学院、生命科学学院（生物多样性博物馆）、地理与环境科学学院、马克思主义学院（中国特色社会主义理论研究中心、生态文明研究中心、马克思主义理论研究和建设的协同创新基地、海上丝绸之路研究院）、法学院（海南经济特区法治战略研究基地、海南省廉洁文化研究基地）、外国语学院（出国人员外语培训中心、国际语言服务学院）、数学与统计学院（数据科学与智慧教育教育部重点实验室）、体育学院、旅游学院、国际教育学院（东南亚汉语推广师资培训基地、华文教育基地、海南来</w:t>
      </w:r>
      <w:proofErr w:type="gramStart"/>
      <w:r>
        <w:rPr>
          <w:rFonts w:ascii="仿宋_GB2312" w:eastAsia="仿宋_GB2312" w:hAnsi="仿宋_GB2312" w:cs="仿宋_GB2312" w:hint="eastAsia"/>
          <w:color w:val="000000" w:themeColor="text1"/>
          <w:sz w:val="32"/>
          <w:szCs w:val="32"/>
        </w:rPr>
        <w:t>琼国际</w:t>
      </w:r>
      <w:proofErr w:type="gramEnd"/>
      <w:r>
        <w:rPr>
          <w:rFonts w:ascii="仿宋_GB2312" w:eastAsia="仿宋_GB2312" w:hAnsi="仿宋_GB2312" w:cs="仿宋_GB2312" w:hint="eastAsia"/>
          <w:color w:val="000000" w:themeColor="text1"/>
          <w:sz w:val="32"/>
          <w:szCs w:val="32"/>
        </w:rPr>
        <w:t>学生预科教育学院）、足球学院、</w:t>
      </w:r>
      <w:r>
        <w:rPr>
          <w:rFonts w:ascii="仿宋_GB2312" w:eastAsia="仿宋_GB2312" w:hAnsi="仿宋_GB2312" w:cs="仿宋_GB2312" w:hint="eastAsia"/>
          <w:color w:val="000000" w:themeColor="text1"/>
          <w:sz w:val="32"/>
          <w:szCs w:val="32"/>
        </w:rPr>
        <w:lastRenderedPageBreak/>
        <w:t>教育学院、心理学院、教师教育学院（海南省中学教师继续教育培训中心）、历史文化学院（南海区域文化研究中心）。</w:t>
      </w:r>
    </w:p>
    <w:p w:rsidR="00C77B67" w:rsidRDefault="00000000">
      <w:pPr>
        <w:spacing w:line="600" w:lineRule="exact"/>
        <w:ind w:firstLineChars="200" w:firstLine="640"/>
        <w:jc w:val="left"/>
        <w:rPr>
          <w:rFonts w:ascii="仿宋_GB2312" w:eastAsia="仿宋_GB2312" w:hAnsi="仿宋_GB2312" w:cs="仿宋_GB2312" w:hint="eastAsia"/>
          <w:color w:val="000000" w:themeColor="text1"/>
          <w:sz w:val="32"/>
          <w:szCs w:val="32"/>
        </w:rPr>
      </w:pPr>
      <w:r>
        <w:rPr>
          <w:rFonts w:ascii="仿宋_GB2312" w:eastAsia="仿宋_GB2312" w:hAnsi="仿宋_GB2312" w:cs="仿宋_GB2312" w:hint="eastAsia"/>
          <w:color w:val="000000" w:themeColor="text1"/>
          <w:sz w:val="32"/>
          <w:szCs w:val="32"/>
        </w:rPr>
        <w:t>4.下属（附属）单位6个：海南师范大学附属中学、海南师范大学附属小学、海南师范大学附属幼儿园、海南师范大学医院、海南教育期刊社、资产经营管理有限公司（职业技能培训中心）。</w:t>
      </w:r>
    </w:p>
    <w:p w:rsidR="00C77B67" w:rsidRDefault="00000000">
      <w:pPr>
        <w:pStyle w:val="ae"/>
        <w:ind w:firstLine="640"/>
        <w:jc w:val="left"/>
        <w:rPr>
          <w:rFonts w:ascii="黑体" w:eastAsia="黑体" w:hAnsi="黑体" w:hint="eastAsia"/>
          <w:sz w:val="32"/>
          <w:szCs w:val="32"/>
        </w:rPr>
      </w:pPr>
      <w:r w:rsidRPr="003C34CF">
        <w:rPr>
          <w:rFonts w:ascii="黑体" w:eastAsia="黑体" w:hAnsi="黑体" w:hint="eastAsia"/>
          <w:sz w:val="32"/>
          <w:szCs w:val="32"/>
          <w:highlight w:val="yellow"/>
        </w:rPr>
        <w:t>二、部门预算单位构成</w:t>
      </w:r>
    </w:p>
    <w:p w:rsidR="00C77B67" w:rsidRDefault="00000000">
      <w:pPr>
        <w:ind w:firstLineChars="200" w:firstLine="640"/>
        <w:rPr>
          <w:rFonts w:ascii="仿宋_GB2312" w:eastAsia="仿宋_GB2312" w:hAnsi="仿宋_GB2312" w:cs="仿宋_GB2312" w:hint="eastAsia"/>
          <w:color w:val="000000" w:themeColor="text1"/>
          <w:sz w:val="32"/>
          <w:szCs w:val="32"/>
        </w:rPr>
      </w:pPr>
      <w:r>
        <w:rPr>
          <w:rFonts w:ascii="仿宋_GB2312" w:eastAsia="仿宋_GB2312" w:hAnsi="仿宋_GB2312" w:cs="仿宋_GB2312" w:hint="eastAsia"/>
          <w:color w:val="000000" w:themeColor="text1"/>
          <w:sz w:val="32"/>
          <w:szCs w:val="32"/>
        </w:rPr>
        <w:t>无此类情况。</w:t>
      </w:r>
    </w:p>
    <w:p w:rsidR="00C77B67" w:rsidRDefault="00C77B67">
      <w:pPr>
        <w:ind w:firstLineChars="200" w:firstLine="640"/>
        <w:rPr>
          <w:rFonts w:ascii="仿宋_GB2312" w:eastAsia="仿宋_GB2312" w:hAnsi="仿宋_GB2312" w:cs="仿宋_GB2312" w:hint="eastAsia"/>
          <w:color w:val="000000" w:themeColor="text1"/>
          <w:sz w:val="32"/>
          <w:szCs w:val="32"/>
        </w:rPr>
      </w:pPr>
    </w:p>
    <w:p w:rsidR="00C77B67" w:rsidRDefault="00000000">
      <w:pPr>
        <w:ind w:firstLineChars="350" w:firstLine="1124"/>
        <w:rPr>
          <w:rFonts w:ascii="黑体" w:eastAsia="黑体" w:hAnsi="黑体" w:hint="eastAsia"/>
          <w:b/>
          <w:color w:val="000000" w:themeColor="text1"/>
          <w:sz w:val="32"/>
          <w:szCs w:val="32"/>
        </w:rPr>
      </w:pPr>
      <w:r>
        <w:rPr>
          <w:rFonts w:ascii="黑体" w:eastAsia="黑体" w:hAnsi="黑体" w:hint="eastAsia"/>
          <w:b/>
          <w:color w:val="000000" w:themeColor="text1"/>
          <w:sz w:val="32"/>
          <w:szCs w:val="32"/>
        </w:rPr>
        <w:t>第二部分 海南师范大学（本级）202</w:t>
      </w:r>
      <w:r>
        <w:rPr>
          <w:rFonts w:ascii="黑体" w:eastAsia="黑体" w:hAnsi="黑体"/>
          <w:b/>
          <w:color w:val="000000" w:themeColor="text1"/>
          <w:sz w:val="32"/>
          <w:szCs w:val="32"/>
        </w:rPr>
        <w:t>3</w:t>
      </w:r>
      <w:r>
        <w:rPr>
          <w:rFonts w:ascii="黑体" w:eastAsia="黑体" w:hAnsi="黑体" w:hint="eastAsia"/>
          <w:b/>
          <w:color w:val="000000" w:themeColor="text1"/>
          <w:sz w:val="32"/>
          <w:szCs w:val="32"/>
        </w:rPr>
        <w:t>年预算表</w:t>
      </w:r>
    </w:p>
    <w:p w:rsidR="00C77B67" w:rsidRDefault="00C77B67">
      <w:pPr>
        <w:jc w:val="center"/>
        <w:rPr>
          <w:rFonts w:ascii="仿宋" w:eastAsia="仿宋" w:hAnsi="仿宋" w:hint="eastAsia"/>
          <w:color w:val="000000" w:themeColor="text1"/>
          <w:sz w:val="32"/>
          <w:szCs w:val="32"/>
        </w:rPr>
      </w:pPr>
    </w:p>
    <w:p w:rsidR="00C77B67" w:rsidRDefault="00000000">
      <w:pPr>
        <w:jc w:val="center"/>
        <w:rPr>
          <w:rFonts w:ascii="仿宋" w:eastAsia="仿宋" w:hAnsi="仿宋" w:hint="eastAsia"/>
          <w:b/>
          <w:color w:val="000000" w:themeColor="text1"/>
          <w:sz w:val="32"/>
          <w:szCs w:val="32"/>
        </w:rPr>
      </w:pPr>
      <w:r>
        <w:rPr>
          <w:rFonts w:ascii="仿宋" w:eastAsia="仿宋" w:hAnsi="仿宋" w:hint="eastAsia"/>
          <w:color w:val="000000" w:themeColor="text1"/>
          <w:sz w:val="32"/>
          <w:szCs w:val="32"/>
        </w:rPr>
        <w:t>（此部分内容即为部门或单位预算公开表）</w:t>
      </w:r>
    </w:p>
    <w:p w:rsidR="00C77B67" w:rsidRDefault="00C77B67">
      <w:pPr>
        <w:ind w:firstLineChars="200" w:firstLine="640"/>
        <w:rPr>
          <w:rFonts w:ascii="仿宋" w:eastAsia="仿宋" w:hAnsi="仿宋" w:hint="eastAsia"/>
          <w:color w:val="000000" w:themeColor="text1"/>
          <w:sz w:val="32"/>
          <w:szCs w:val="32"/>
        </w:rPr>
      </w:pPr>
    </w:p>
    <w:p w:rsidR="00C77B67" w:rsidRDefault="00000000">
      <w:pPr>
        <w:ind w:firstLineChars="200" w:firstLine="643"/>
        <w:jc w:val="center"/>
        <w:rPr>
          <w:rFonts w:ascii="仿宋" w:eastAsia="仿宋" w:hAnsi="仿宋" w:hint="eastAsia"/>
          <w:b/>
          <w:color w:val="000000" w:themeColor="text1"/>
          <w:sz w:val="32"/>
          <w:szCs w:val="32"/>
        </w:rPr>
      </w:pPr>
      <w:r>
        <w:rPr>
          <w:rFonts w:ascii="黑体" w:eastAsia="黑体" w:hAnsi="黑体" w:hint="eastAsia"/>
          <w:b/>
          <w:color w:val="000000" w:themeColor="text1"/>
          <w:sz w:val="32"/>
          <w:szCs w:val="32"/>
        </w:rPr>
        <w:t>第三部分海南师范大学（本级）</w:t>
      </w:r>
      <w:r>
        <w:rPr>
          <w:rFonts w:ascii="黑体" w:eastAsia="黑体" w:hAnsi="黑体"/>
          <w:b/>
          <w:color w:val="000000" w:themeColor="text1"/>
          <w:sz w:val="32"/>
          <w:szCs w:val="32"/>
        </w:rPr>
        <w:t>202</w:t>
      </w:r>
      <w:r>
        <w:rPr>
          <w:rFonts w:ascii="黑体" w:eastAsia="黑体" w:hAnsi="黑体" w:hint="eastAsia"/>
          <w:b/>
          <w:color w:val="000000" w:themeColor="text1"/>
          <w:sz w:val="32"/>
          <w:szCs w:val="32"/>
        </w:rPr>
        <w:t>3年预算情况说明</w:t>
      </w:r>
    </w:p>
    <w:p w:rsidR="00C77B67" w:rsidRDefault="00C77B67">
      <w:pPr>
        <w:rPr>
          <w:rFonts w:ascii="仿宋" w:eastAsia="仿宋" w:hAnsi="仿宋" w:hint="eastAsia"/>
          <w:b/>
          <w:color w:val="000000" w:themeColor="text1"/>
          <w:sz w:val="32"/>
          <w:szCs w:val="32"/>
        </w:rPr>
      </w:pPr>
    </w:p>
    <w:p w:rsidR="00C77B67" w:rsidRDefault="00000000">
      <w:pPr>
        <w:spacing w:line="560" w:lineRule="exact"/>
        <w:ind w:firstLineChars="200" w:firstLine="643"/>
        <w:rPr>
          <w:rFonts w:ascii="仿宋" w:eastAsia="仿宋" w:hAnsi="仿宋" w:hint="eastAsia"/>
          <w:b/>
          <w:color w:val="000000" w:themeColor="text1"/>
          <w:sz w:val="32"/>
          <w:szCs w:val="32"/>
        </w:rPr>
      </w:pPr>
      <w:r>
        <w:rPr>
          <w:rFonts w:ascii="仿宋" w:eastAsia="仿宋" w:hAnsi="仿宋" w:hint="eastAsia"/>
          <w:b/>
          <w:color w:val="000000" w:themeColor="text1"/>
          <w:sz w:val="32"/>
          <w:szCs w:val="32"/>
        </w:rPr>
        <w:t>一、关于海南师范大学（本级）2023年财政拨款收支预算情况的总体说明</w:t>
      </w:r>
    </w:p>
    <w:p w:rsidR="00C77B67"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海南师范大学（本级）2023年财政拨款收支总预算75,136.73万元，比上年增加20,738.58万元，主要是一般公共服务支出增加46.80万元、教育支出增加18,522.55万元、科学技术支出增加1,234.40万元、社会保障和就业支出增加499.10万元、卫生健康支出增加32.25万元、住房保障支出增加328.95万元、其他</w:t>
      </w:r>
      <w:r>
        <w:rPr>
          <w:rFonts w:ascii="仿宋" w:eastAsia="仿宋" w:hAnsi="仿宋" w:hint="eastAsia"/>
          <w:color w:val="000000" w:themeColor="text1"/>
          <w:sz w:val="32"/>
          <w:szCs w:val="32"/>
        </w:rPr>
        <w:lastRenderedPageBreak/>
        <w:t>支出增加74.53万元。其中，收入总计75,136.73万元：包括一般公共预算本年收入73,128.69万元、政府性基金预算资金35.00万元，上年一般公共预算拨款结转1,933.51万元，政府性基金预算拨款结转39.53万元万元。支出总计75,136.73万元:包括一般公共服务支出46.80万元、教育支出65,605.56万元、科学技术支出2,787.58万元、社会保障和就业支出3,599.51万元、卫生健康支出1,101.61万元、住房保障支出1,921.14万元、其他支出74.53万元。</w:t>
      </w:r>
    </w:p>
    <w:p w:rsidR="00C77B67" w:rsidRDefault="00000000">
      <w:pPr>
        <w:spacing w:line="560" w:lineRule="exact"/>
        <w:ind w:firstLineChars="200" w:firstLine="643"/>
        <w:rPr>
          <w:rFonts w:ascii="仿宋" w:eastAsia="仿宋" w:hAnsi="仿宋" w:hint="eastAsia"/>
          <w:b/>
          <w:color w:val="000000" w:themeColor="text1"/>
          <w:sz w:val="32"/>
          <w:szCs w:val="32"/>
        </w:rPr>
      </w:pPr>
      <w:r>
        <w:rPr>
          <w:rFonts w:ascii="仿宋" w:eastAsia="仿宋" w:hAnsi="仿宋" w:hint="eastAsia"/>
          <w:b/>
          <w:color w:val="000000" w:themeColor="text1"/>
          <w:sz w:val="32"/>
          <w:szCs w:val="32"/>
        </w:rPr>
        <w:t>二、关于海南师范大学（本级）2023年一般公共预算当年拨款情况说明</w:t>
      </w:r>
    </w:p>
    <w:p w:rsidR="00C77B67"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（一）一般公共预算当年规模变化情况</w:t>
      </w:r>
    </w:p>
    <w:p w:rsidR="00C77B67"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海南师范大学（本级）2023年一般公共预算当年拨款75,136.73万元，比上年增加20,738.58万元，主要是一般公共服务支出增加46.80万元、教育支出增加18,522.55万元、科学技术支出增加1,234.40万元、社会保障和就业支出增加499.10万元、卫生健康支出增加32.25万元、住房保障支出增加328.95万元、其他支出增加74.53万元。</w:t>
      </w:r>
    </w:p>
    <w:p w:rsidR="00C77B67"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（二）一般公共预算当年拨款结构情况</w:t>
      </w:r>
    </w:p>
    <w:p w:rsidR="00C77B67"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一般公共服务支出46.80万元，占0.06%，教育（类）支出65,605.56万元，占87.31%；科学技术（类）支出2,787.58万元，占3.71%；社会保障和就业支出3599.51万元，占4.8%，卫生健康支出1,101.61万元，占1.47%，住房保障支出1921.14万元，2.56%,其他支出74.53万元，占0.09%。</w:t>
      </w:r>
    </w:p>
    <w:p w:rsidR="00C77B67"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lastRenderedPageBreak/>
        <w:t>（三）一般公共预算当年拨款具体使用情况</w:t>
      </w:r>
    </w:p>
    <w:p w:rsidR="00C77B67"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1.一般公共服务支出（类）知识产权事务（款）其他知识产权事务支出（项）2023年预算数为46.80万元，比去年增加46.80万元，主要用于</w:t>
      </w:r>
      <w:r>
        <w:rPr>
          <w:rFonts w:ascii="仿宋" w:eastAsia="仿宋" w:hAnsi="仿宋"/>
          <w:color w:val="000000" w:themeColor="text1"/>
          <w:sz w:val="32"/>
          <w:szCs w:val="32"/>
        </w:rPr>
        <w:t>国外授权的专利</w:t>
      </w:r>
      <w:r>
        <w:rPr>
          <w:rFonts w:ascii="仿宋" w:eastAsia="仿宋" w:hAnsi="仿宋" w:hint="eastAsia"/>
          <w:color w:val="000000" w:themeColor="text1"/>
          <w:sz w:val="32"/>
          <w:szCs w:val="32"/>
        </w:rPr>
        <w:t>和</w:t>
      </w:r>
      <w:r>
        <w:rPr>
          <w:rFonts w:ascii="仿宋" w:eastAsia="仿宋" w:hAnsi="仿宋"/>
          <w:color w:val="000000" w:themeColor="text1"/>
          <w:sz w:val="32"/>
          <w:szCs w:val="32"/>
        </w:rPr>
        <w:t>国内授权的发明专利</w:t>
      </w:r>
      <w:r>
        <w:rPr>
          <w:rFonts w:ascii="仿宋" w:eastAsia="仿宋" w:hAnsi="仿宋" w:hint="eastAsia"/>
          <w:color w:val="000000" w:themeColor="text1"/>
          <w:sz w:val="32"/>
          <w:szCs w:val="32"/>
        </w:rPr>
        <w:t>。</w:t>
      </w:r>
    </w:p>
    <w:p w:rsidR="00C77B67"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2.教育支出（类）普通教育（款）学前教育（项）2023年预算数为20.00万元，2023年创建示范幼儿园和对口帮扶项目单独列示.</w:t>
      </w:r>
    </w:p>
    <w:p w:rsidR="00C77B67"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3. 教育支出（类）普通教育（款）小学教育（项）2023年预算数为1,488.60万元，增加附属小学支出单独列示。</w:t>
      </w:r>
    </w:p>
    <w:p w:rsidR="00C77B67"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4. 教育支出（类）普通教育（款）高等教育（项）63,277.76万元，比去年增加17,179.5万元，主要是教育发展加快，支出增加。</w:t>
      </w:r>
    </w:p>
    <w:p w:rsidR="00C77B67"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5.教育支出（类）留学教育（款）来华留学教育（项）2023年预算数819.20万元比去年减少50.50万元。</w:t>
      </w:r>
    </w:p>
    <w:p w:rsidR="00C77B67"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6.科学技术支出（类）基础研究（款）自然科学基金（项）2023年预算数为788.26万元，比去年增加了618.26万元（含上年结转数为543.24万元）。</w:t>
      </w:r>
    </w:p>
    <w:p w:rsidR="00C77B67"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7.科学技术支出（类）基础研究（款）科技人才队伍建设（项）2023年预算数为87.05万元，比去年减小12.95万元。</w:t>
      </w:r>
    </w:p>
    <w:p w:rsidR="00C77B67"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8.科学技术支出（类）科技条件与服务（款）科技条件专项（项）2023年预算数652.03万元，比去年增加362.05万元（含上年结转422.03万元）</w:t>
      </w:r>
    </w:p>
    <w:p w:rsidR="00C77B67"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9.科学技术支出（类）科学技术普及（款）其他科学技术普及</w:t>
      </w:r>
      <w:r>
        <w:rPr>
          <w:rFonts w:ascii="仿宋" w:eastAsia="仿宋" w:hAnsi="仿宋" w:hint="eastAsia"/>
          <w:color w:val="000000" w:themeColor="text1"/>
          <w:sz w:val="32"/>
          <w:szCs w:val="32"/>
        </w:rPr>
        <w:lastRenderedPageBreak/>
        <w:t>支出（项）2023年预算金额为10.00万元，主要是2022年年末</w:t>
      </w:r>
      <w:r>
        <w:rPr>
          <w:rFonts w:ascii="仿宋" w:eastAsia="仿宋" w:hAnsi="仿宋"/>
          <w:color w:val="000000" w:themeColor="text1"/>
          <w:sz w:val="32"/>
          <w:szCs w:val="32"/>
        </w:rPr>
        <w:t>市县科技创新专项</w:t>
      </w:r>
      <w:r>
        <w:rPr>
          <w:rFonts w:ascii="仿宋" w:eastAsia="仿宋" w:hAnsi="仿宋" w:hint="eastAsia"/>
          <w:color w:val="000000" w:themeColor="text1"/>
          <w:sz w:val="32"/>
          <w:szCs w:val="32"/>
        </w:rPr>
        <w:t>未使用结转至2023年年初预算。</w:t>
      </w:r>
    </w:p>
    <w:p w:rsidR="00C77B67"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10.科学技术支出（类）科技重大项目（款）科技重大专项(项)2023年预算数150.32万元，比去年减少25.68万元。</w:t>
      </w:r>
    </w:p>
    <w:p w:rsidR="00C77B67"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11.科学技术支出（类）科技重大项目（款）重大研发计划(项)2023年预算数681.34万元，比去年增加280.14万元。（含上年结转数359.35万元）</w:t>
      </w:r>
    </w:p>
    <w:p w:rsidR="00C77B67"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12.科学技术支出（类）其他科学技术支出(款)科技奖励(项)2023年预算数为8.00万元，主要是2022年年末科学技术奖奖金未使用结转至2023年年初预算。</w:t>
      </w:r>
    </w:p>
    <w:p w:rsidR="00C77B67"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13. 科学技术支出（类）其他科学技术支出(款)其他科学技术支出（项）2023年预算数为410.58万元，比去年减少5.42万元。</w:t>
      </w:r>
    </w:p>
    <w:p w:rsidR="00C77B67"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14.社会保障和就业支出(类)行政事业单位养老支出(款)事业单位离退休(项)2023年预算数为49.80万元，比去年增加3.81万元，主要是单位缴纳基本养老保险费支出的增加。</w:t>
      </w:r>
    </w:p>
    <w:p w:rsidR="00C77B67"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15. 社会保障和就业支出(类)行政事业单位养老支出(款)机关事业单位基本养老保险缴费支出(项)2023年预算为2342.03万元，比去年增加329.12万元，主要是关事业单位基本养老保险缴费支出预算增加。</w:t>
      </w:r>
    </w:p>
    <w:p w:rsidR="00C77B67"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16. 社会保障和就业支出(类)行政事业单位养老支出(款)事业单位职业年金缴费支出(项)2023年预算数为1171.02万元，比去年增加164.56万元，主要是职业年金预算增加。</w:t>
      </w:r>
    </w:p>
    <w:p w:rsidR="00C77B67"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lastRenderedPageBreak/>
        <w:t>17.社会保障和就业支出(类)抚恤(款)其他优抚支出(项)2023年预算数为36.67万元，比去年增加1.61万元，主要是增加死亡抚恤预算。</w:t>
      </w:r>
    </w:p>
    <w:p w:rsidR="00C77B67"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18.卫生健康支出(类)行政事业单位医疗(款)事来单位医疗(项)2023年预算数为1101.61万元，比去年增加32.25万元，主要是单位医疗预算增加。</w:t>
      </w:r>
    </w:p>
    <w:p w:rsidR="00C77B67"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19.住房保障支出(类)住房改革支出(款)住房公积金(项)2023年预算数为1921.14万元，比去年增加328.95万元，主要是机关事业单位住房公积金基本支出预算的增加。</w:t>
      </w:r>
    </w:p>
    <w:p w:rsidR="00C77B67" w:rsidRDefault="00000000">
      <w:pPr>
        <w:spacing w:line="560" w:lineRule="exact"/>
        <w:ind w:firstLineChars="200" w:firstLine="643"/>
        <w:rPr>
          <w:rFonts w:ascii="仿宋" w:eastAsia="仿宋" w:hAnsi="仿宋" w:hint="eastAsia"/>
          <w:b/>
          <w:color w:val="000000" w:themeColor="text1"/>
          <w:sz w:val="32"/>
          <w:szCs w:val="32"/>
        </w:rPr>
      </w:pPr>
      <w:r>
        <w:rPr>
          <w:rFonts w:ascii="仿宋" w:eastAsia="仿宋" w:hAnsi="仿宋" w:hint="eastAsia"/>
          <w:b/>
          <w:color w:val="000000" w:themeColor="text1"/>
          <w:sz w:val="32"/>
          <w:szCs w:val="32"/>
        </w:rPr>
        <w:t>三、关于海南师范大学（本级）2022年一般公共预算基本支出情况说明</w:t>
      </w:r>
    </w:p>
    <w:p w:rsidR="00C77B67"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海南师范大学2023年一般公共预算基本支出为34,639.66万元，其中：</w:t>
      </w:r>
    </w:p>
    <w:p w:rsidR="00C77B67"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人员经费24,544.96万元，主要包括：基本工资、津贴补贴、奖金、社会保障缴费、伙食费、伙食补助费、绩效工资、其他工资福利支出等、离休费、退休费、退职（役）费、抚恤金、生活补助、救济费、医疗费、助学金、奖励金、生产补贴、住房公积金、提租补贴、购房补贴、其他对个人和家庭的补助支出等。</w:t>
      </w:r>
    </w:p>
    <w:p w:rsidR="00C77B67"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公用经费10,094.7万元，主要包括：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w:t>
      </w:r>
      <w:r>
        <w:rPr>
          <w:rFonts w:ascii="仿宋" w:eastAsia="仿宋" w:hAnsi="仿宋" w:hint="eastAsia"/>
          <w:color w:val="000000" w:themeColor="text1"/>
          <w:sz w:val="32"/>
          <w:szCs w:val="32"/>
        </w:rPr>
        <w:lastRenderedPageBreak/>
        <w:t>用、税金及附加费用、其他商品和服务支出。</w:t>
      </w:r>
    </w:p>
    <w:p w:rsidR="00C77B67" w:rsidRDefault="00000000">
      <w:pPr>
        <w:spacing w:line="560" w:lineRule="exact"/>
        <w:ind w:firstLineChars="200" w:firstLine="643"/>
        <w:rPr>
          <w:rFonts w:ascii="仿宋" w:eastAsia="仿宋" w:hAnsi="仿宋" w:hint="eastAsia"/>
          <w:b/>
          <w:color w:val="000000" w:themeColor="text1"/>
          <w:sz w:val="32"/>
          <w:szCs w:val="32"/>
        </w:rPr>
      </w:pPr>
      <w:r>
        <w:rPr>
          <w:rFonts w:ascii="仿宋" w:eastAsia="仿宋" w:hAnsi="仿宋" w:hint="eastAsia"/>
          <w:b/>
          <w:color w:val="000000" w:themeColor="text1"/>
          <w:sz w:val="32"/>
          <w:szCs w:val="32"/>
        </w:rPr>
        <w:t>四、海南师范大学2023</w:t>
      </w:r>
      <w:r>
        <w:rPr>
          <w:rFonts w:ascii="仿宋" w:eastAsia="仿宋" w:hAnsi="仿宋"/>
          <w:b/>
          <w:color w:val="000000" w:themeColor="text1"/>
          <w:sz w:val="32"/>
          <w:szCs w:val="32"/>
        </w:rPr>
        <w:t>年“三公”经费预算情况</w:t>
      </w:r>
      <w:r>
        <w:rPr>
          <w:rFonts w:ascii="仿宋" w:eastAsia="仿宋" w:hAnsi="仿宋" w:hint="eastAsia"/>
          <w:b/>
          <w:color w:val="000000" w:themeColor="text1"/>
          <w:sz w:val="32"/>
          <w:szCs w:val="32"/>
        </w:rPr>
        <w:t>说明</w:t>
      </w:r>
    </w:p>
    <w:p w:rsidR="00C77B67"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海南师范大学2023年一般公共预算“三公”经费预算“三公”经费预算数为2</w:t>
      </w:r>
      <w:r>
        <w:rPr>
          <w:rFonts w:ascii="仿宋" w:eastAsia="仿宋" w:hAnsi="仿宋"/>
          <w:color w:val="000000" w:themeColor="text1"/>
          <w:sz w:val="32"/>
          <w:szCs w:val="32"/>
        </w:rPr>
        <w:t>95.00</w:t>
      </w:r>
      <w:r>
        <w:rPr>
          <w:rFonts w:ascii="仿宋" w:eastAsia="仿宋" w:hAnsi="仿宋" w:hint="eastAsia"/>
          <w:color w:val="000000" w:themeColor="text1"/>
          <w:sz w:val="32"/>
          <w:szCs w:val="32"/>
        </w:rPr>
        <w:t>万元，与去年持平。其中：</w:t>
      </w:r>
    </w:p>
    <w:p w:rsidR="00C77B67" w:rsidRDefault="00000000">
      <w:pPr>
        <w:spacing w:line="600" w:lineRule="exact"/>
        <w:ind w:firstLine="630"/>
        <w:rPr>
          <w:rFonts w:ascii="仿宋" w:eastAsia="仿宋" w:hAnsi="仿宋" w:cs="仿宋" w:hint="eastAsia"/>
          <w:sz w:val="32"/>
          <w:szCs w:val="32"/>
        </w:rPr>
      </w:pPr>
      <w:r>
        <w:rPr>
          <w:rFonts w:ascii="仿宋" w:eastAsia="仿宋" w:hAnsi="仿宋" w:hint="eastAsia"/>
          <w:color w:val="000000" w:themeColor="text1"/>
          <w:sz w:val="32"/>
          <w:szCs w:val="32"/>
        </w:rPr>
        <w:t>1.</w:t>
      </w:r>
      <w:r>
        <w:rPr>
          <w:rFonts w:ascii="仿宋" w:eastAsia="仿宋" w:hAnsi="仿宋"/>
          <w:color w:val="000000" w:themeColor="text1"/>
          <w:sz w:val="32"/>
          <w:szCs w:val="32"/>
        </w:rPr>
        <w:t>因公出国（境）经费</w:t>
      </w:r>
      <w:r>
        <w:rPr>
          <w:rFonts w:ascii="仿宋" w:eastAsia="仿宋" w:hAnsi="仿宋" w:hint="eastAsia"/>
          <w:color w:val="000000" w:themeColor="text1"/>
          <w:sz w:val="32"/>
          <w:szCs w:val="32"/>
        </w:rPr>
        <w:t>100.00万元</w:t>
      </w:r>
      <w:r>
        <w:rPr>
          <w:rFonts w:ascii="仿宋" w:eastAsia="仿宋" w:hAnsi="仿宋"/>
          <w:color w:val="000000" w:themeColor="text1"/>
          <w:sz w:val="32"/>
          <w:szCs w:val="32"/>
        </w:rPr>
        <w:t>，与</w:t>
      </w:r>
      <w:r>
        <w:rPr>
          <w:rFonts w:ascii="仿宋" w:eastAsia="仿宋" w:hAnsi="仿宋" w:hint="eastAsia"/>
          <w:color w:val="000000" w:themeColor="text1"/>
          <w:sz w:val="32"/>
          <w:szCs w:val="32"/>
        </w:rPr>
        <w:t>上</w:t>
      </w:r>
      <w:r>
        <w:rPr>
          <w:rFonts w:ascii="仿宋" w:eastAsia="仿宋" w:hAnsi="仿宋"/>
          <w:color w:val="000000" w:themeColor="text1"/>
          <w:sz w:val="32"/>
          <w:szCs w:val="32"/>
        </w:rPr>
        <w:t>年预算持平</w:t>
      </w:r>
      <w:r>
        <w:rPr>
          <w:rFonts w:ascii="仿宋" w:eastAsia="仿宋" w:hAnsi="仿宋" w:hint="eastAsia"/>
          <w:color w:val="000000" w:themeColor="text1"/>
          <w:sz w:val="32"/>
          <w:szCs w:val="32"/>
        </w:rPr>
        <w:t>。</w:t>
      </w:r>
      <w:r>
        <w:rPr>
          <w:rFonts w:ascii="仿宋" w:eastAsia="仿宋" w:hAnsi="仿宋" w:cs="Times New Roman" w:hint="eastAsia"/>
          <w:sz w:val="32"/>
          <w:szCs w:val="32"/>
          <w:shd w:val="clear" w:color="auto" w:fill="FFFFFF"/>
        </w:rPr>
        <w:t>我校将在严格遵守国家及省委、省政府的要求的前提下，继续做好国际交流活动计划安排，加强因公出国（境）团组的申报和审批，对因公出国（境）的人员、出访计划、资金支出预算安排等方面从严控制。海南师范大学安排的2023</w:t>
      </w:r>
      <w:r>
        <w:rPr>
          <w:rFonts w:ascii="仿宋" w:eastAsia="仿宋" w:hAnsi="仿宋" w:cs="Times New Roman"/>
          <w:sz w:val="32"/>
          <w:szCs w:val="32"/>
          <w:shd w:val="clear" w:color="auto" w:fill="FFFFFF"/>
        </w:rPr>
        <w:t>年出国计划，拟安排出国（境）</w:t>
      </w:r>
      <w:r>
        <w:rPr>
          <w:rFonts w:ascii="仿宋" w:eastAsia="仿宋" w:hAnsi="仿宋" w:cs="Times New Roman" w:hint="eastAsia"/>
          <w:sz w:val="32"/>
          <w:szCs w:val="32"/>
          <w:shd w:val="clear" w:color="auto" w:fill="FFFFFF"/>
        </w:rPr>
        <w:t>团（</w:t>
      </w:r>
      <w:r>
        <w:rPr>
          <w:rFonts w:ascii="仿宋" w:eastAsia="仿宋" w:hAnsi="仿宋" w:cs="Times New Roman"/>
          <w:sz w:val="32"/>
          <w:szCs w:val="32"/>
          <w:shd w:val="clear" w:color="auto" w:fill="FFFFFF"/>
        </w:rPr>
        <w:t>组</w:t>
      </w:r>
      <w:r>
        <w:rPr>
          <w:rFonts w:ascii="仿宋" w:eastAsia="仿宋" w:hAnsi="仿宋" w:cs="Times New Roman" w:hint="eastAsia"/>
          <w:sz w:val="32"/>
          <w:szCs w:val="32"/>
          <w:shd w:val="clear" w:color="auto" w:fill="FFFFFF"/>
        </w:rPr>
        <w:t>）6</w:t>
      </w:r>
      <w:r>
        <w:rPr>
          <w:rFonts w:ascii="仿宋" w:eastAsia="仿宋" w:hAnsi="仿宋" w:cs="Times New Roman"/>
          <w:sz w:val="32"/>
          <w:szCs w:val="32"/>
          <w:shd w:val="clear" w:color="auto" w:fill="FFFFFF"/>
        </w:rPr>
        <w:t>次，出国（境）</w:t>
      </w:r>
      <w:r>
        <w:rPr>
          <w:rFonts w:ascii="仿宋" w:eastAsia="仿宋" w:hAnsi="仿宋" w:cs="Times New Roman" w:hint="eastAsia"/>
          <w:sz w:val="32"/>
          <w:szCs w:val="32"/>
          <w:shd w:val="clear" w:color="auto" w:fill="FFFFFF"/>
        </w:rPr>
        <w:t>35</w:t>
      </w:r>
      <w:r>
        <w:rPr>
          <w:rFonts w:ascii="仿宋" w:eastAsia="仿宋" w:hAnsi="仿宋" w:cs="Times New Roman"/>
          <w:sz w:val="32"/>
          <w:szCs w:val="32"/>
          <w:shd w:val="clear" w:color="auto" w:fill="FFFFFF"/>
        </w:rPr>
        <w:t>人。</w:t>
      </w:r>
      <w:r>
        <w:rPr>
          <w:rFonts w:ascii="仿宋" w:eastAsia="仿宋" w:hAnsi="仿宋" w:cs="Times New Roman" w:hint="eastAsia"/>
          <w:sz w:val="32"/>
          <w:szCs w:val="32"/>
          <w:shd w:val="clear" w:color="auto" w:fill="FFFFFF"/>
        </w:rPr>
        <w:t>单</w:t>
      </w:r>
      <w:proofErr w:type="gramStart"/>
      <w:r>
        <w:rPr>
          <w:rFonts w:ascii="仿宋" w:eastAsia="仿宋" w:hAnsi="仿宋" w:cs="Times New Roman" w:hint="eastAsia"/>
          <w:sz w:val="32"/>
          <w:szCs w:val="32"/>
          <w:shd w:val="clear" w:color="auto" w:fill="FFFFFF"/>
        </w:rPr>
        <w:t>位拟</w:t>
      </w:r>
      <w:proofErr w:type="gramEnd"/>
      <w:r>
        <w:rPr>
          <w:rFonts w:ascii="仿宋" w:eastAsia="仿宋" w:hAnsi="仿宋" w:cs="Times New Roman" w:hint="eastAsia"/>
          <w:sz w:val="32"/>
          <w:szCs w:val="32"/>
          <w:shd w:val="clear" w:color="auto" w:fill="FFFFFF"/>
        </w:rPr>
        <w:t>实</w:t>
      </w:r>
      <w:r>
        <w:rPr>
          <w:rFonts w:ascii="仿宋" w:eastAsia="仿宋" w:hAnsi="仿宋" w:cs="仿宋" w:hint="eastAsia"/>
          <w:sz w:val="32"/>
          <w:szCs w:val="32"/>
        </w:rPr>
        <w:t xml:space="preserve">施的因公出国（境）计划如下：(1).海南师范大学赴意大利、西班牙关于中外合作办学项目访问团（地点：意大利罗马、西班牙卡塔赫纳；人数：6人；时间7天；事由：中外合作办学项目洽谈及落地）； (2).海南师范大学赴英国、奥地利关于中外合作办学机构访问团（地点：英国伦敦、曼切斯特；奥地利维也纳；人数：6人；天数：7天；事由：中外合作办学机构、国际化课程等项目洽谈）；                                                      (3).海南师范大学赴俄罗斯关于中外合作办学项目访问团（地点：俄罗斯圣彼得堡、莫斯科；人数：6人；天数：4天；事由：签署现有中外合作项目延期协议及学术交流）;(4). 海南师范大学赴泰国、马来西亚关于境外办学项目访问团（地点：泰国碧瑶、马来西亚吉隆坡；人数：6人；天数：7天；事由：探讨汉语国际教育专业境外办学的合作事宜）；                                                      </w:t>
      </w:r>
      <w:r>
        <w:rPr>
          <w:rFonts w:ascii="仿宋" w:eastAsia="仿宋" w:hAnsi="仿宋" w:cs="仿宋" w:hint="eastAsia"/>
          <w:sz w:val="32"/>
          <w:szCs w:val="32"/>
        </w:rPr>
        <w:lastRenderedPageBreak/>
        <w:t>(5). 海南师范大学赴英国关于国际足球学院中外合作办学项目访问团（地点：英国沃特福德、莱斯特郡；人数：6人；天数：4天；事由：国际足球学院中外合作办学项目等事宜商讨）；                                                     (6). 海南师范大学赴捷克、匈牙利关于国际联合实验室项目访问团（地点：捷克布拉格、匈牙利布达佩斯；人数：5人；天数：7天；事由：调研国际联合实验室项目）。</w:t>
      </w:r>
    </w:p>
    <w:p w:rsidR="00C77B67"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2.</w:t>
      </w:r>
      <w:r>
        <w:rPr>
          <w:rFonts w:ascii="仿宋" w:eastAsia="仿宋" w:hAnsi="仿宋"/>
          <w:color w:val="000000" w:themeColor="text1"/>
          <w:sz w:val="32"/>
          <w:szCs w:val="32"/>
        </w:rPr>
        <w:t>公务用车购置及运行费</w:t>
      </w:r>
      <w:r>
        <w:rPr>
          <w:rFonts w:ascii="仿宋" w:eastAsia="仿宋" w:hAnsi="仿宋" w:hint="eastAsia"/>
          <w:color w:val="000000" w:themeColor="text1"/>
          <w:sz w:val="32"/>
          <w:szCs w:val="32"/>
        </w:rPr>
        <w:t>95.00万元（其中，</w:t>
      </w:r>
      <w:r>
        <w:rPr>
          <w:rFonts w:ascii="仿宋" w:eastAsia="仿宋" w:hAnsi="仿宋"/>
          <w:color w:val="000000" w:themeColor="text1"/>
          <w:sz w:val="32"/>
          <w:szCs w:val="32"/>
        </w:rPr>
        <w:t>公务用车购置</w:t>
      </w:r>
      <w:r>
        <w:rPr>
          <w:rFonts w:ascii="仿宋" w:eastAsia="仿宋" w:hAnsi="仿宋" w:hint="eastAsia"/>
          <w:color w:val="000000" w:themeColor="text1"/>
          <w:sz w:val="32"/>
          <w:szCs w:val="32"/>
        </w:rPr>
        <w:t>费0万元，公务用车</w:t>
      </w:r>
      <w:r>
        <w:rPr>
          <w:rFonts w:ascii="仿宋" w:eastAsia="仿宋" w:hAnsi="仿宋"/>
          <w:color w:val="000000" w:themeColor="text1"/>
          <w:sz w:val="32"/>
          <w:szCs w:val="32"/>
        </w:rPr>
        <w:t>运行费</w:t>
      </w:r>
      <w:r>
        <w:rPr>
          <w:rFonts w:ascii="仿宋" w:eastAsia="仿宋" w:hAnsi="仿宋" w:hint="eastAsia"/>
          <w:color w:val="000000" w:themeColor="text1"/>
          <w:sz w:val="32"/>
          <w:szCs w:val="32"/>
        </w:rPr>
        <w:t>95.00万元）</w:t>
      </w:r>
      <w:r>
        <w:rPr>
          <w:rFonts w:ascii="仿宋" w:eastAsia="仿宋" w:hAnsi="仿宋"/>
          <w:color w:val="000000" w:themeColor="text1"/>
          <w:sz w:val="32"/>
          <w:szCs w:val="32"/>
        </w:rPr>
        <w:t>，与</w:t>
      </w:r>
      <w:r>
        <w:rPr>
          <w:rFonts w:ascii="仿宋" w:eastAsia="仿宋" w:hAnsi="仿宋" w:hint="eastAsia"/>
          <w:color w:val="000000" w:themeColor="text1"/>
          <w:sz w:val="32"/>
          <w:szCs w:val="32"/>
        </w:rPr>
        <w:t>上</w:t>
      </w:r>
      <w:r>
        <w:rPr>
          <w:rFonts w:ascii="仿宋" w:eastAsia="仿宋" w:hAnsi="仿宋"/>
          <w:color w:val="000000" w:themeColor="text1"/>
          <w:sz w:val="32"/>
          <w:szCs w:val="32"/>
        </w:rPr>
        <w:t>年预算持平。</w:t>
      </w:r>
      <w:r>
        <w:rPr>
          <w:rFonts w:ascii="仿宋" w:eastAsia="仿宋" w:hAnsi="仿宋" w:hint="eastAsia"/>
          <w:color w:val="000000" w:themeColor="text1"/>
          <w:sz w:val="32"/>
          <w:szCs w:val="32"/>
        </w:rPr>
        <w:t>公务用车保有存量9辆。</w:t>
      </w:r>
    </w:p>
    <w:p w:rsidR="00C77B67"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3.公务接待费是100.00万元，与上年预算持平。2023年我校计划接待50批次800人。</w:t>
      </w:r>
    </w:p>
    <w:p w:rsidR="00C77B67" w:rsidRDefault="00000000">
      <w:pPr>
        <w:spacing w:line="560" w:lineRule="exact"/>
        <w:ind w:firstLineChars="200" w:firstLine="643"/>
        <w:rPr>
          <w:rFonts w:ascii="仿宋" w:eastAsia="仿宋" w:hAnsi="仿宋" w:hint="eastAsia"/>
          <w:b/>
          <w:color w:val="000000" w:themeColor="text1"/>
          <w:sz w:val="32"/>
          <w:szCs w:val="32"/>
        </w:rPr>
      </w:pPr>
      <w:r>
        <w:rPr>
          <w:rFonts w:ascii="仿宋" w:eastAsia="仿宋" w:hAnsi="仿宋" w:hint="eastAsia"/>
          <w:b/>
          <w:color w:val="000000" w:themeColor="text1"/>
          <w:sz w:val="32"/>
          <w:szCs w:val="32"/>
        </w:rPr>
        <w:t>五、关于海南师范大学（本级）2023</w:t>
      </w:r>
      <w:r>
        <w:rPr>
          <w:rFonts w:ascii="仿宋" w:eastAsia="仿宋" w:hAnsi="仿宋"/>
          <w:b/>
          <w:color w:val="000000" w:themeColor="text1"/>
          <w:sz w:val="32"/>
          <w:szCs w:val="32"/>
        </w:rPr>
        <w:t>年</w:t>
      </w:r>
      <w:r>
        <w:rPr>
          <w:rFonts w:ascii="仿宋" w:eastAsia="仿宋" w:hAnsi="仿宋" w:hint="eastAsia"/>
          <w:b/>
          <w:color w:val="000000" w:themeColor="text1"/>
          <w:sz w:val="32"/>
          <w:szCs w:val="32"/>
        </w:rPr>
        <w:t>政府性基金预算当年拨款情况说明</w:t>
      </w:r>
    </w:p>
    <w:p w:rsidR="00C77B67"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2023年海南师范大学政府性基金预算当年拨款用于教育事业的彩票公益金支出74.53万元。</w:t>
      </w:r>
    </w:p>
    <w:p w:rsidR="00C77B67" w:rsidRDefault="00000000">
      <w:pPr>
        <w:spacing w:line="560" w:lineRule="exact"/>
        <w:ind w:firstLineChars="200" w:firstLine="643"/>
        <w:rPr>
          <w:rFonts w:ascii="仿宋" w:eastAsia="仿宋" w:hAnsi="仿宋" w:hint="eastAsia"/>
          <w:b/>
          <w:color w:val="000000" w:themeColor="text1"/>
          <w:sz w:val="32"/>
          <w:szCs w:val="32"/>
        </w:rPr>
      </w:pPr>
      <w:r>
        <w:rPr>
          <w:rFonts w:ascii="仿宋" w:eastAsia="仿宋" w:hAnsi="仿宋" w:hint="eastAsia"/>
          <w:b/>
          <w:color w:val="000000" w:themeColor="text1"/>
          <w:sz w:val="32"/>
          <w:szCs w:val="32"/>
        </w:rPr>
        <w:t>六、关于海南师范大学2023</w:t>
      </w:r>
      <w:r>
        <w:rPr>
          <w:rFonts w:ascii="仿宋" w:eastAsia="仿宋" w:hAnsi="仿宋"/>
          <w:b/>
          <w:color w:val="000000" w:themeColor="text1"/>
          <w:sz w:val="32"/>
          <w:szCs w:val="32"/>
        </w:rPr>
        <w:t>年</w:t>
      </w:r>
      <w:r>
        <w:rPr>
          <w:rFonts w:ascii="仿宋" w:eastAsia="仿宋" w:hAnsi="仿宋" w:hint="eastAsia"/>
          <w:b/>
          <w:color w:val="000000" w:themeColor="text1"/>
          <w:sz w:val="32"/>
          <w:szCs w:val="32"/>
        </w:rPr>
        <w:t>收支预算情况的总体说明</w:t>
      </w:r>
    </w:p>
    <w:p w:rsidR="00C77B67"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按照综合预算原则，海南师范大学所有收入和支出均纳入部门预算管理。收入包括：一般公共预算收入、政府性基金预算拨款收入、财政专户管理资金收入、事业收入以及上年结转；支出包括：一般公共服务支出、教育支出、科学技术支出、文化旅游体育与传媒支出、社会保障和就业支出、卫生健康支出和住房保障支出及其他支出。海南师范大学（本级）2023年收入总预算118,939.05万元。</w:t>
      </w:r>
    </w:p>
    <w:p w:rsidR="00C77B67" w:rsidRDefault="00000000">
      <w:pPr>
        <w:spacing w:line="560" w:lineRule="exact"/>
        <w:ind w:firstLineChars="200" w:firstLine="643"/>
        <w:rPr>
          <w:rFonts w:ascii="仿宋" w:eastAsia="仿宋" w:hAnsi="仿宋" w:hint="eastAsia"/>
          <w:b/>
          <w:color w:val="000000" w:themeColor="text1"/>
          <w:sz w:val="32"/>
          <w:szCs w:val="32"/>
        </w:rPr>
      </w:pPr>
      <w:r>
        <w:rPr>
          <w:rFonts w:ascii="仿宋" w:eastAsia="仿宋" w:hAnsi="仿宋" w:hint="eastAsia"/>
          <w:b/>
          <w:color w:val="000000" w:themeColor="text1"/>
          <w:sz w:val="32"/>
          <w:szCs w:val="32"/>
        </w:rPr>
        <w:lastRenderedPageBreak/>
        <w:t>七、关于海南师范大学（本级）2023</w:t>
      </w:r>
      <w:r>
        <w:rPr>
          <w:rFonts w:ascii="仿宋" w:eastAsia="仿宋" w:hAnsi="仿宋"/>
          <w:b/>
          <w:color w:val="000000" w:themeColor="text1"/>
          <w:sz w:val="32"/>
          <w:szCs w:val="32"/>
        </w:rPr>
        <w:t>年</w:t>
      </w:r>
      <w:r>
        <w:rPr>
          <w:rFonts w:ascii="仿宋" w:eastAsia="仿宋" w:hAnsi="仿宋" w:hint="eastAsia"/>
          <w:b/>
          <w:color w:val="000000" w:themeColor="text1"/>
          <w:sz w:val="32"/>
          <w:szCs w:val="32"/>
        </w:rPr>
        <w:t>收入预算情况说明</w:t>
      </w:r>
    </w:p>
    <w:p w:rsidR="00C77B67"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海南师范大学（本级）2023年收入预算1</w:t>
      </w:r>
      <w:r>
        <w:rPr>
          <w:rFonts w:ascii="仿宋" w:eastAsia="仿宋" w:hAnsi="仿宋"/>
          <w:color w:val="000000" w:themeColor="text1"/>
          <w:sz w:val="32"/>
          <w:szCs w:val="32"/>
        </w:rPr>
        <w:t>21,003.96</w:t>
      </w:r>
      <w:r>
        <w:rPr>
          <w:rFonts w:ascii="仿宋" w:eastAsia="仿宋" w:hAnsi="仿宋" w:hint="eastAsia"/>
          <w:color w:val="000000" w:themeColor="text1"/>
          <w:sz w:val="32"/>
          <w:szCs w:val="32"/>
        </w:rPr>
        <w:t>万元。其中：一般公共预算拨款收入73,128.69万元，占6</w:t>
      </w:r>
      <w:r>
        <w:rPr>
          <w:rFonts w:ascii="仿宋" w:eastAsia="仿宋" w:hAnsi="仿宋"/>
          <w:color w:val="000000" w:themeColor="text1"/>
          <w:sz w:val="32"/>
          <w:szCs w:val="32"/>
        </w:rPr>
        <w:t>0</w:t>
      </w:r>
      <w:r>
        <w:rPr>
          <w:rFonts w:ascii="仿宋" w:eastAsia="仿宋" w:hAnsi="仿宋" w:hint="eastAsia"/>
          <w:color w:val="000000" w:themeColor="text1"/>
          <w:sz w:val="32"/>
          <w:szCs w:val="32"/>
        </w:rPr>
        <w:t>.4</w:t>
      </w:r>
      <w:r>
        <w:rPr>
          <w:rFonts w:ascii="仿宋" w:eastAsia="仿宋" w:hAnsi="仿宋"/>
          <w:color w:val="000000" w:themeColor="text1"/>
          <w:sz w:val="32"/>
          <w:szCs w:val="32"/>
        </w:rPr>
        <w:t>3</w:t>
      </w:r>
      <w:r>
        <w:rPr>
          <w:rFonts w:ascii="仿宋" w:eastAsia="仿宋" w:hAnsi="仿宋" w:hint="eastAsia"/>
          <w:color w:val="000000" w:themeColor="text1"/>
          <w:sz w:val="32"/>
          <w:szCs w:val="32"/>
        </w:rPr>
        <w:t>%；政府性基金预算拨款收入35万元，占0.03%，财政专户管理资金收入</w:t>
      </w:r>
      <w:r>
        <w:rPr>
          <w:rFonts w:ascii="仿宋" w:eastAsia="仿宋" w:hAnsi="仿宋"/>
          <w:color w:val="000000" w:themeColor="text1"/>
          <w:sz w:val="32"/>
          <w:szCs w:val="32"/>
        </w:rPr>
        <w:t>20</w:t>
      </w:r>
      <w:r>
        <w:rPr>
          <w:rFonts w:ascii="仿宋" w:eastAsia="仿宋" w:hAnsi="仿宋" w:hint="eastAsia"/>
          <w:color w:val="000000" w:themeColor="text1"/>
          <w:sz w:val="32"/>
          <w:szCs w:val="32"/>
        </w:rPr>
        <w:t>,</w:t>
      </w:r>
      <w:r>
        <w:rPr>
          <w:rFonts w:ascii="仿宋" w:eastAsia="仿宋" w:hAnsi="仿宋"/>
          <w:color w:val="000000" w:themeColor="text1"/>
          <w:sz w:val="32"/>
          <w:szCs w:val="32"/>
        </w:rPr>
        <w:t>609.50</w:t>
      </w:r>
      <w:r>
        <w:rPr>
          <w:rFonts w:ascii="仿宋" w:eastAsia="仿宋" w:hAnsi="仿宋" w:hint="eastAsia"/>
          <w:color w:val="000000" w:themeColor="text1"/>
          <w:sz w:val="32"/>
          <w:szCs w:val="32"/>
        </w:rPr>
        <w:t>万元占1</w:t>
      </w:r>
      <w:r>
        <w:rPr>
          <w:rFonts w:ascii="仿宋" w:eastAsia="仿宋" w:hAnsi="仿宋"/>
          <w:color w:val="000000" w:themeColor="text1"/>
          <w:sz w:val="32"/>
          <w:szCs w:val="32"/>
        </w:rPr>
        <w:t>7</w:t>
      </w:r>
      <w:r>
        <w:rPr>
          <w:rFonts w:ascii="仿宋" w:eastAsia="仿宋" w:hAnsi="仿宋" w:hint="eastAsia"/>
          <w:color w:val="000000" w:themeColor="text1"/>
          <w:sz w:val="32"/>
          <w:szCs w:val="32"/>
        </w:rPr>
        <w:t>.</w:t>
      </w:r>
      <w:r>
        <w:rPr>
          <w:rFonts w:ascii="仿宋" w:eastAsia="仿宋" w:hAnsi="仿宋"/>
          <w:color w:val="000000" w:themeColor="text1"/>
          <w:sz w:val="32"/>
          <w:szCs w:val="32"/>
        </w:rPr>
        <w:t>03</w:t>
      </w:r>
      <w:r>
        <w:rPr>
          <w:rFonts w:ascii="仿宋" w:eastAsia="仿宋" w:hAnsi="仿宋" w:hint="eastAsia"/>
          <w:color w:val="000000" w:themeColor="text1"/>
          <w:sz w:val="32"/>
          <w:szCs w:val="32"/>
        </w:rPr>
        <w:t>%；事业收入17,340万元，占14.</w:t>
      </w:r>
      <w:r>
        <w:rPr>
          <w:rFonts w:ascii="仿宋" w:eastAsia="仿宋" w:hAnsi="仿宋"/>
          <w:color w:val="000000" w:themeColor="text1"/>
          <w:sz w:val="32"/>
          <w:szCs w:val="32"/>
        </w:rPr>
        <w:t>33</w:t>
      </w:r>
      <w:r>
        <w:rPr>
          <w:rFonts w:ascii="仿宋" w:eastAsia="仿宋" w:hAnsi="仿宋" w:hint="eastAsia"/>
          <w:color w:val="000000" w:themeColor="text1"/>
          <w:sz w:val="32"/>
          <w:szCs w:val="32"/>
        </w:rPr>
        <w:t>%；上年结转</w:t>
      </w:r>
      <w:r>
        <w:rPr>
          <w:rFonts w:ascii="仿宋" w:eastAsia="仿宋" w:hAnsi="仿宋"/>
          <w:color w:val="000000" w:themeColor="text1"/>
          <w:sz w:val="32"/>
          <w:szCs w:val="32"/>
        </w:rPr>
        <w:t>9</w:t>
      </w:r>
      <w:r>
        <w:rPr>
          <w:rFonts w:ascii="仿宋" w:eastAsia="仿宋" w:hAnsi="仿宋" w:hint="eastAsia"/>
          <w:color w:val="000000" w:themeColor="text1"/>
          <w:sz w:val="32"/>
          <w:szCs w:val="32"/>
        </w:rPr>
        <w:t>,</w:t>
      </w:r>
      <w:r>
        <w:rPr>
          <w:rFonts w:ascii="仿宋" w:eastAsia="仿宋" w:hAnsi="仿宋"/>
          <w:color w:val="000000" w:themeColor="text1"/>
          <w:sz w:val="32"/>
          <w:szCs w:val="32"/>
        </w:rPr>
        <w:t>890.77</w:t>
      </w:r>
      <w:r>
        <w:rPr>
          <w:rFonts w:ascii="仿宋" w:eastAsia="仿宋" w:hAnsi="仿宋" w:hint="eastAsia"/>
          <w:color w:val="000000" w:themeColor="text1"/>
          <w:sz w:val="32"/>
          <w:szCs w:val="32"/>
        </w:rPr>
        <w:t>万元，占</w:t>
      </w:r>
      <w:r>
        <w:rPr>
          <w:rFonts w:ascii="仿宋" w:eastAsia="仿宋" w:hAnsi="仿宋"/>
          <w:color w:val="000000" w:themeColor="text1"/>
          <w:sz w:val="32"/>
          <w:szCs w:val="32"/>
        </w:rPr>
        <w:t>8</w:t>
      </w:r>
      <w:r>
        <w:rPr>
          <w:rFonts w:ascii="仿宋" w:eastAsia="仿宋" w:hAnsi="仿宋" w:hint="eastAsia"/>
          <w:color w:val="000000" w:themeColor="text1"/>
          <w:sz w:val="32"/>
          <w:szCs w:val="32"/>
        </w:rPr>
        <w:t>.</w:t>
      </w:r>
      <w:r>
        <w:rPr>
          <w:rFonts w:ascii="仿宋" w:eastAsia="仿宋" w:hAnsi="仿宋"/>
          <w:color w:val="000000" w:themeColor="text1"/>
          <w:sz w:val="32"/>
          <w:szCs w:val="32"/>
        </w:rPr>
        <w:t>18</w:t>
      </w:r>
      <w:r>
        <w:rPr>
          <w:rFonts w:ascii="仿宋" w:eastAsia="仿宋" w:hAnsi="仿宋" w:hint="eastAsia"/>
          <w:color w:val="000000" w:themeColor="text1"/>
          <w:sz w:val="32"/>
          <w:szCs w:val="32"/>
        </w:rPr>
        <w:t>%。比上年预算数增加2</w:t>
      </w:r>
      <w:r>
        <w:rPr>
          <w:rFonts w:ascii="仿宋" w:eastAsia="仿宋" w:hAnsi="仿宋"/>
          <w:color w:val="000000" w:themeColor="text1"/>
          <w:sz w:val="32"/>
          <w:szCs w:val="32"/>
        </w:rPr>
        <w:t>7</w:t>
      </w:r>
      <w:r>
        <w:rPr>
          <w:rFonts w:ascii="仿宋" w:eastAsia="仿宋" w:hAnsi="仿宋" w:hint="eastAsia"/>
          <w:color w:val="000000" w:themeColor="text1"/>
          <w:sz w:val="32"/>
          <w:szCs w:val="32"/>
        </w:rPr>
        <w:t>,</w:t>
      </w:r>
      <w:r>
        <w:rPr>
          <w:rFonts w:ascii="仿宋" w:eastAsia="仿宋" w:hAnsi="仿宋"/>
          <w:color w:val="000000" w:themeColor="text1"/>
          <w:sz w:val="32"/>
          <w:szCs w:val="32"/>
        </w:rPr>
        <w:t>240.44</w:t>
      </w:r>
      <w:r>
        <w:rPr>
          <w:rFonts w:ascii="仿宋" w:eastAsia="仿宋" w:hAnsi="仿宋" w:hint="eastAsia"/>
          <w:color w:val="000000" w:themeColor="text1"/>
          <w:sz w:val="32"/>
          <w:szCs w:val="32"/>
        </w:rPr>
        <w:t>万元，主要是2023年一般公共预算比上年增加22,461.38万元，政府性基金预算增加35.00万元，财政专户管理资金比上年增加</w:t>
      </w:r>
      <w:r>
        <w:rPr>
          <w:rFonts w:ascii="仿宋" w:eastAsia="仿宋" w:hAnsi="仿宋"/>
          <w:color w:val="000000" w:themeColor="text1"/>
          <w:sz w:val="32"/>
          <w:szCs w:val="32"/>
        </w:rPr>
        <w:t>3</w:t>
      </w:r>
      <w:r>
        <w:rPr>
          <w:rFonts w:ascii="仿宋" w:eastAsia="仿宋" w:hAnsi="仿宋" w:hint="eastAsia"/>
          <w:color w:val="000000" w:themeColor="text1"/>
          <w:sz w:val="32"/>
          <w:szCs w:val="32"/>
        </w:rPr>
        <w:t>，</w:t>
      </w:r>
      <w:r>
        <w:rPr>
          <w:rFonts w:ascii="仿宋" w:eastAsia="仿宋" w:hAnsi="仿宋"/>
          <w:color w:val="000000" w:themeColor="text1"/>
          <w:sz w:val="32"/>
          <w:szCs w:val="32"/>
        </w:rPr>
        <w:t>909.50</w:t>
      </w:r>
      <w:r>
        <w:rPr>
          <w:rFonts w:ascii="仿宋" w:eastAsia="仿宋" w:hAnsi="仿宋" w:hint="eastAsia"/>
          <w:color w:val="000000" w:themeColor="text1"/>
          <w:sz w:val="32"/>
          <w:szCs w:val="32"/>
        </w:rPr>
        <w:t>.00万元，事业收入比上年增加2,974.63万元，上年结转比上年减少</w:t>
      </w:r>
      <w:r>
        <w:rPr>
          <w:rFonts w:ascii="仿宋" w:eastAsia="仿宋" w:hAnsi="仿宋"/>
          <w:color w:val="000000" w:themeColor="text1"/>
          <w:sz w:val="32"/>
          <w:szCs w:val="32"/>
        </w:rPr>
        <w:t>2</w:t>
      </w:r>
      <w:r>
        <w:rPr>
          <w:rFonts w:ascii="仿宋" w:eastAsia="仿宋" w:hAnsi="仿宋" w:hint="eastAsia"/>
          <w:color w:val="000000" w:themeColor="text1"/>
          <w:sz w:val="32"/>
          <w:szCs w:val="32"/>
        </w:rPr>
        <w:t>,</w:t>
      </w:r>
      <w:r>
        <w:rPr>
          <w:rFonts w:ascii="仿宋" w:eastAsia="仿宋" w:hAnsi="仿宋"/>
          <w:color w:val="000000" w:themeColor="text1"/>
          <w:sz w:val="32"/>
          <w:szCs w:val="32"/>
        </w:rPr>
        <w:t>140.07</w:t>
      </w:r>
      <w:r>
        <w:rPr>
          <w:rFonts w:ascii="仿宋" w:eastAsia="仿宋" w:hAnsi="仿宋" w:hint="eastAsia"/>
          <w:color w:val="000000" w:themeColor="text1"/>
          <w:sz w:val="32"/>
          <w:szCs w:val="32"/>
        </w:rPr>
        <w:t>万元</w:t>
      </w:r>
    </w:p>
    <w:p w:rsidR="00C77B67" w:rsidRDefault="00000000">
      <w:pPr>
        <w:spacing w:line="560" w:lineRule="exact"/>
        <w:ind w:firstLineChars="200" w:firstLine="643"/>
        <w:rPr>
          <w:rFonts w:ascii="仿宋" w:eastAsia="仿宋" w:hAnsi="仿宋" w:hint="eastAsia"/>
          <w:b/>
          <w:color w:val="000000" w:themeColor="text1"/>
          <w:sz w:val="32"/>
          <w:szCs w:val="32"/>
        </w:rPr>
      </w:pPr>
      <w:r>
        <w:rPr>
          <w:rFonts w:ascii="仿宋" w:eastAsia="仿宋" w:hAnsi="仿宋" w:hint="eastAsia"/>
          <w:b/>
          <w:color w:val="000000" w:themeColor="text1"/>
          <w:sz w:val="32"/>
          <w:szCs w:val="32"/>
        </w:rPr>
        <w:t>八、关于海南师范大学（本级）2023</w:t>
      </w:r>
      <w:r>
        <w:rPr>
          <w:rFonts w:ascii="仿宋" w:eastAsia="仿宋" w:hAnsi="仿宋"/>
          <w:b/>
          <w:color w:val="000000" w:themeColor="text1"/>
          <w:sz w:val="32"/>
          <w:szCs w:val="32"/>
        </w:rPr>
        <w:t>年</w:t>
      </w:r>
      <w:r>
        <w:rPr>
          <w:rFonts w:ascii="仿宋" w:eastAsia="仿宋" w:hAnsi="仿宋" w:hint="eastAsia"/>
          <w:b/>
          <w:color w:val="000000" w:themeColor="text1"/>
          <w:sz w:val="32"/>
          <w:szCs w:val="32"/>
        </w:rPr>
        <w:t>支出预算情况说明</w:t>
      </w:r>
    </w:p>
    <w:p w:rsidR="00C77B67"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海南师范大学（本级）2023年支出预算121,003.96万元，其中：基本支出人员经费48,904.28万元，占40.42%；基本支出公用经费11,653.61万元占9.63%；项目支出60,446.07万元，占49.95%。支出比上年预算数增加27,340.44万元，主要是2023年加大了一般公共预算对教育和项目支出的投入。</w:t>
      </w:r>
    </w:p>
    <w:p w:rsidR="00C77B67" w:rsidRDefault="00000000">
      <w:pPr>
        <w:spacing w:line="560" w:lineRule="exact"/>
        <w:ind w:firstLineChars="200" w:firstLine="643"/>
        <w:rPr>
          <w:rFonts w:ascii="仿宋" w:eastAsia="仿宋" w:hAnsi="仿宋" w:hint="eastAsia"/>
          <w:b/>
          <w:color w:val="000000" w:themeColor="text1"/>
          <w:sz w:val="32"/>
          <w:szCs w:val="32"/>
        </w:rPr>
      </w:pPr>
      <w:r>
        <w:rPr>
          <w:rFonts w:ascii="仿宋" w:eastAsia="仿宋" w:hAnsi="仿宋" w:hint="eastAsia"/>
          <w:b/>
          <w:color w:val="000000" w:themeColor="text1"/>
          <w:sz w:val="32"/>
          <w:szCs w:val="32"/>
        </w:rPr>
        <w:t>九、其他重要事项的情况说明</w:t>
      </w:r>
    </w:p>
    <w:p w:rsidR="00C77B67"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（一）机关运行经费</w:t>
      </w:r>
    </w:p>
    <w:p w:rsidR="00C77B67"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2023年海南师范大学（本级）</w:t>
      </w:r>
      <w:proofErr w:type="gramStart"/>
      <w:r>
        <w:rPr>
          <w:rFonts w:ascii="仿宋" w:eastAsia="仿宋" w:hAnsi="仿宋" w:hint="eastAsia"/>
          <w:color w:val="000000" w:themeColor="text1"/>
          <w:sz w:val="32"/>
          <w:szCs w:val="32"/>
        </w:rPr>
        <w:t>无机关</w:t>
      </w:r>
      <w:proofErr w:type="gramEnd"/>
      <w:r>
        <w:rPr>
          <w:rFonts w:ascii="仿宋" w:eastAsia="仿宋" w:hAnsi="仿宋" w:hint="eastAsia"/>
          <w:color w:val="000000" w:themeColor="text1"/>
          <w:sz w:val="32"/>
          <w:szCs w:val="32"/>
        </w:rPr>
        <w:t>运行经费。</w:t>
      </w:r>
    </w:p>
    <w:p w:rsidR="00C77B67"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（二）政府采购情况</w:t>
      </w:r>
    </w:p>
    <w:p w:rsidR="00C77B67"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2023年海南师范大学（本级）（政府采购预算总额21,433.29万元，其中：政府采购货物预算6,233.29万元,采购工程预算15,200.00万元。</w:t>
      </w:r>
    </w:p>
    <w:p w:rsidR="00C77B67"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lastRenderedPageBreak/>
        <w:t>（三）国有资产占有使用情况</w:t>
      </w:r>
    </w:p>
    <w:p w:rsidR="00C77B67"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截至2022年12月31日，海南师范大学省本级共有车辆9辆，其中，领导干部用车 2辆，机要通信应急用车1辆、一般执法执勤用车5辆、特种专业技术用车1辆。单位价值100.00万元以上设备17台（套）。</w:t>
      </w:r>
    </w:p>
    <w:p w:rsidR="00C77B67"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（四）绩效目标设置情况</w:t>
      </w:r>
    </w:p>
    <w:p w:rsidR="00C77B67"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2023年海南师范大学（本级）有52个项目实行绩效目标管理，涉及一般公共预算73,128.70万元、财政专户管理资金收入16,775.00万元、事业收入17,340.00万元、上年结转9</w:t>
      </w:r>
      <w:r>
        <w:rPr>
          <w:rFonts w:ascii="仿宋" w:eastAsia="仿宋" w:hAnsi="仿宋"/>
          <w:color w:val="000000" w:themeColor="text1"/>
          <w:sz w:val="32"/>
          <w:szCs w:val="32"/>
        </w:rPr>
        <w:t>890.77</w:t>
      </w:r>
      <w:r>
        <w:rPr>
          <w:rFonts w:ascii="仿宋" w:eastAsia="仿宋" w:hAnsi="仿宋" w:hint="eastAsia"/>
          <w:color w:val="000000" w:themeColor="text1"/>
          <w:sz w:val="32"/>
          <w:szCs w:val="32"/>
        </w:rPr>
        <w:t>万元。</w:t>
      </w:r>
    </w:p>
    <w:p w:rsidR="00C77B67"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其中，重点项目预算绩效情况：</w:t>
      </w:r>
    </w:p>
    <w:p w:rsidR="00C77B67"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1、海南师范大学学生事务补助项目，预算安排1,626.53万元。主要用于为在校本科生按月发放副食品补贴，为师范生发放师范院校奖学金，为勤工助学学生发放勤工助学补助。绩效目标是:1、为在校本科生按照30元/人/月足额发放10个月副食品补贴2、为在校师范类学生按照40元/人/月标准足额发放10个月师范院校奖学金3、为勤工助学学生发放勤工助学补助4、为家庭经济困难学生发放临时困难资助经费。</w:t>
      </w:r>
    </w:p>
    <w:p w:rsidR="00C77B67"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2、海南师范大学教育合作与交流项目财政专户管理资金安排1,300.00万元，主要用于每年项目学费的40%支付给第三方作为其教学管理费用，中俄学生人数：19级48+20级54+21级39+22级44=185人；中美学生：20级89人+21级90人+22级90人=269；中印学生：20级192人+21级188人+22级200人+23级200人</w:t>
      </w:r>
      <w:r>
        <w:rPr>
          <w:rFonts w:ascii="仿宋" w:eastAsia="仿宋" w:hAnsi="仿宋" w:hint="eastAsia"/>
          <w:color w:val="000000" w:themeColor="text1"/>
          <w:sz w:val="32"/>
          <w:szCs w:val="32"/>
        </w:rPr>
        <w:lastRenderedPageBreak/>
        <w:t>=780人。绩效目标是：1、建设3个合作办学点 2、按时支付3项外方管理费 3、提高合作办学水平。</w:t>
      </w:r>
    </w:p>
    <w:p w:rsidR="00C77B67"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3、海南师范大学桂林校区二期学生公寓（18#-22#）及配套三期学生食堂基本项目，预算安排10,000.00万元。主要用于生公寓建筑面积77000平方米，学生食堂建筑面积4500平方米，地下室（含人防）建筑面积7000平方米。建设内容包含土建工程，安装工程，道路硬化、绿化、消防、照明等室外配套工程，购置设备等。绩效目标是完成二期学生公寓及三期食堂建筑面积88500平方米；建设工程数量2个；项目收益人数6550人；收益群体满意度80%。</w:t>
      </w:r>
    </w:p>
    <w:p w:rsidR="00C77B67"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 xml:space="preserve">4、二期教学楼和综合楼项目，预算金额安排3,000.00万元。根据《高等学校建设面积标准》以 及省教育厅批准的近期 20000 名学生（含 500 名留学生）办学规模，学校必配的十二项基本办学用房面积应为 52万平方米，目前已建 36万平方米，尚有16万平方米的缺额。其中，教室、实验实习以及管理业务用房尚有缺额面积 5.4万平方米。为加快桂林洋校区校舍建设，让剩余学生尽早入驻，完成桂林洋校区的总体建设，提出本项目建设。总建筑面积 62800 平方米，主要包括：（一） 1 栋马克思主义学院教学楼，建筑面积11000 平方米，主要设置教学、实验及院系管理用房；（二）1栋新闻传播影视学院教学楼，建筑面积 20000 平方米，主要设置教学、实验及院系管理用房； （三） 1 </w:t>
      </w:r>
      <w:proofErr w:type="gramStart"/>
      <w:r>
        <w:rPr>
          <w:rFonts w:ascii="仿宋" w:eastAsia="仿宋" w:hAnsi="仿宋" w:hint="eastAsia"/>
          <w:color w:val="000000" w:themeColor="text1"/>
          <w:sz w:val="32"/>
          <w:szCs w:val="32"/>
        </w:rPr>
        <w:t>栋音乐</w:t>
      </w:r>
      <w:proofErr w:type="gramEnd"/>
      <w:r>
        <w:rPr>
          <w:rFonts w:ascii="仿宋" w:eastAsia="仿宋" w:hAnsi="仿宋" w:hint="eastAsia"/>
          <w:color w:val="000000" w:themeColor="text1"/>
          <w:sz w:val="32"/>
          <w:szCs w:val="32"/>
        </w:rPr>
        <w:t>学院教学楼，建筑面积 17000 平方米，主要设置教学、实验及院系管理用房； （四）1栋综合楼，建筑面积为 14800 平方米，主要</w:t>
      </w:r>
      <w:r>
        <w:rPr>
          <w:rFonts w:ascii="仿宋" w:eastAsia="仿宋" w:hAnsi="仿宋" w:hint="eastAsia"/>
          <w:color w:val="000000" w:themeColor="text1"/>
          <w:sz w:val="32"/>
          <w:szCs w:val="32"/>
        </w:rPr>
        <w:lastRenderedPageBreak/>
        <w:t>建设综合管理室、接待室、会议室、对外服务大厅、档案库房、档案业务和技术用房及卫生间等功能用房，同步配套建设室外基础设施、购置教学设备设施等。项目估算总金额为 60,204 万元。绩效目标是建设工程数量4个 建设工程量62800平方米 项目收益人数12000人 受益群体学生满意度95%。</w:t>
      </w:r>
    </w:p>
    <w:p w:rsidR="00C77B67"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5、海南师范大学桂林洋校区综合足球场及室内训练馆项目，预算安排2,000.00万元。该项目主要分两部分建设，第一部分用地面积为69990.96平方米，建设9座足球场地，其中1座11</w:t>
      </w:r>
      <w:proofErr w:type="gramStart"/>
      <w:r>
        <w:rPr>
          <w:rFonts w:ascii="仿宋" w:eastAsia="仿宋" w:hAnsi="仿宋" w:hint="eastAsia"/>
          <w:color w:val="000000" w:themeColor="text1"/>
          <w:sz w:val="32"/>
          <w:szCs w:val="32"/>
        </w:rPr>
        <w:t>人制</w:t>
      </w:r>
      <w:proofErr w:type="gramEnd"/>
      <w:r>
        <w:rPr>
          <w:rFonts w:ascii="仿宋" w:eastAsia="仿宋" w:hAnsi="仿宋" w:hint="eastAsia"/>
          <w:color w:val="000000" w:themeColor="text1"/>
          <w:sz w:val="32"/>
          <w:szCs w:val="32"/>
        </w:rPr>
        <w:t>丙级足球比赛足球场地，1座11</w:t>
      </w:r>
      <w:proofErr w:type="gramStart"/>
      <w:r>
        <w:rPr>
          <w:rFonts w:ascii="仿宋" w:eastAsia="仿宋" w:hAnsi="仿宋" w:hint="eastAsia"/>
          <w:color w:val="000000" w:themeColor="text1"/>
          <w:sz w:val="32"/>
          <w:szCs w:val="32"/>
        </w:rPr>
        <w:t>人制</w:t>
      </w:r>
      <w:proofErr w:type="gramEnd"/>
      <w:r>
        <w:rPr>
          <w:rFonts w:ascii="仿宋" w:eastAsia="仿宋" w:hAnsi="仿宋" w:hint="eastAsia"/>
          <w:color w:val="000000" w:themeColor="text1"/>
          <w:sz w:val="32"/>
          <w:szCs w:val="32"/>
        </w:rPr>
        <w:t>、4座5</w:t>
      </w:r>
      <w:proofErr w:type="gramStart"/>
      <w:r>
        <w:rPr>
          <w:rFonts w:ascii="仿宋" w:eastAsia="仿宋" w:hAnsi="仿宋" w:hint="eastAsia"/>
          <w:color w:val="000000" w:themeColor="text1"/>
          <w:sz w:val="32"/>
          <w:szCs w:val="32"/>
        </w:rPr>
        <w:t>人制</w:t>
      </w:r>
      <w:proofErr w:type="gramEnd"/>
      <w:r>
        <w:rPr>
          <w:rFonts w:ascii="仿宋" w:eastAsia="仿宋" w:hAnsi="仿宋" w:hint="eastAsia"/>
          <w:color w:val="000000" w:themeColor="text1"/>
          <w:sz w:val="32"/>
          <w:szCs w:val="32"/>
        </w:rPr>
        <w:t>、2座7</w:t>
      </w:r>
      <w:proofErr w:type="gramStart"/>
      <w:r>
        <w:rPr>
          <w:rFonts w:ascii="仿宋" w:eastAsia="仿宋" w:hAnsi="仿宋" w:hint="eastAsia"/>
          <w:color w:val="000000" w:themeColor="text1"/>
          <w:sz w:val="32"/>
          <w:szCs w:val="32"/>
        </w:rPr>
        <w:t>人制</w:t>
      </w:r>
      <w:proofErr w:type="gramEnd"/>
      <w:r>
        <w:rPr>
          <w:rFonts w:ascii="仿宋" w:eastAsia="仿宋" w:hAnsi="仿宋" w:hint="eastAsia"/>
          <w:color w:val="000000" w:themeColor="text1"/>
          <w:sz w:val="32"/>
          <w:szCs w:val="32"/>
        </w:rPr>
        <w:t>足球专业训练场地，1座沙滩足球专业训练场地，看台及附属用房建筑面积1500平方米，同时配套建设2处遮阳膜、绿化、道路及硬化场地、给排水及电力系统等。第二部分建设1栋室内训练馆，用地面积为7997.20平方米，建筑面积为8199.83平方米。绩效目标是2023年3月份完成前期工作，计划3月份开始基础和主体施工，2024年6月份竣工。</w:t>
      </w:r>
    </w:p>
    <w:p w:rsidR="00C77B67"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6、海南师范大学学校宿舍门更换及家具更新采购项目，预算安排1,350.12万元。我校桂林洋校区学生公寓1－10栋权属海南桂林洋高校后勤服务有限公司。这10栋学生公寓自2008年8月陆续投入使用至今，宿舍漏水及墙体脱落极其严重，白蚂蚁造成的安全隐患严重。且家具已过使用年限，宿舍区消防及用电安全设备年久失修，存在严重的安全隐患。综上问题导致学生意见很大，为彻底解决上述问题，我校拟对10栋宿舍进行补漏及涂料维修改造，开展白蚂蚁防治，购置一批宿舍门及家具进行更换，对消防及用电</w:t>
      </w:r>
      <w:r>
        <w:rPr>
          <w:rFonts w:ascii="仿宋" w:eastAsia="仿宋" w:hAnsi="仿宋" w:hint="eastAsia"/>
          <w:color w:val="000000" w:themeColor="text1"/>
          <w:sz w:val="32"/>
          <w:szCs w:val="32"/>
        </w:rPr>
        <w:lastRenderedPageBreak/>
        <w:t>安全设备进行更新。绩效目标是一.学生宿舍门更换及家具更换，为了加强学生公寓管理，提高后勤服务质量，不断改善和提升学生的住宿环境。</w:t>
      </w:r>
    </w:p>
    <w:p w:rsidR="00C77B67"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7、海南师范大学学生资助补助经费项目，预算安排4972.70万元，主要用于高中阶段和高等教育学生资助（省级资金及中央资金）、来琼留学生省政府奖学金。绩效目标是及时支出专项经费，促进学校发展。</w:t>
      </w:r>
    </w:p>
    <w:p w:rsidR="00C77B67"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8、海南师范大学高等学校发展资金项目，预算安排1,456.00万元。主要用于高校教育教学改革项目、海南省普通高校“双一流”建设项目、大学生创新创业计、高校科研项目资助。绩效目标是承办海南省2项学科竞赛（4.00万）、109项国家级省级创新创业训练项目（80.00万）、研究生创新课题100项（22.50万）1.省级教学成果一等奖3个，每个3.00万，小计9.00万 2.省级教学成果二等奖4个，每个1.00万，小计4.00万 3.国家级一流本科专业3个，每个10.00万，小计30.00万 4.省级一流本科专业9个，每个5.00万，小计45.00万 5.省级在线精品课程4门，每门5.00万，小计20.00万，共计108.00万。支持教改、科研项目47项，其中重点项目14*3=42.00万元，一般项目33*1.5=49.50万元，合计：91.50万元。 A类4个（理工2个，人文2个）B类8个（理工5个，人文3个），资助标准（万元）：A类（理工200，人文100）B类（理工80，人文50）C类（理工40，人文20）。</w:t>
      </w:r>
    </w:p>
    <w:p w:rsidR="00C77B67"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9、海南师范大学教师队伍建设资金项目，预算安排1,720.48万元。主要用于海南省乡村小学教师定向培养计划、中小学好校长</w:t>
      </w:r>
      <w:r>
        <w:rPr>
          <w:rFonts w:ascii="仿宋" w:eastAsia="仿宋" w:hAnsi="仿宋" w:hint="eastAsia"/>
          <w:color w:val="000000" w:themeColor="text1"/>
          <w:sz w:val="32"/>
          <w:szCs w:val="32"/>
        </w:rPr>
        <w:lastRenderedPageBreak/>
        <w:t>好教师引进工程专业支持计划、海南省乡镇骨干教师培训、海南省好校长好教师培养工程。绩效目标是：2019-2022级文科学生（141、120、130、100）491人，学费标准：4180元/生.年，合计205.24万元 ；2019-2022级理科学生（59、80、70、100）309人，学费标准：4620元/生.年，合计142.76万元； 2019-2022级共800名项目学生，住宿标准：1200元/生.年。合计96.00万元； 2018级共200名项目学生，6个月生活补助，生活补助标准：600元/生.月，2019-2021级共600名项目学生，10个月生活补助，生活补助标准：600元/生.月；2022级共200名项目学生，4个月生活补助，生活补助标准：600元/生.月；合计480.00万元 。总计924万元。培训经费标准为400元/天/人，培训天数不等，共3个子项目。共5个项目。省外培训550元/人/天，省内培训400元/人/天，校长工作室6万元/</w:t>
      </w:r>
      <w:proofErr w:type="gramStart"/>
      <w:r>
        <w:rPr>
          <w:rFonts w:ascii="仿宋" w:eastAsia="仿宋" w:hAnsi="仿宋" w:hint="eastAsia"/>
          <w:color w:val="000000" w:themeColor="text1"/>
          <w:sz w:val="32"/>
          <w:szCs w:val="32"/>
        </w:rPr>
        <w:t>个</w:t>
      </w:r>
      <w:proofErr w:type="gramEnd"/>
      <w:r>
        <w:rPr>
          <w:rFonts w:ascii="仿宋" w:eastAsia="仿宋" w:hAnsi="仿宋" w:hint="eastAsia"/>
          <w:color w:val="000000" w:themeColor="text1"/>
          <w:sz w:val="32"/>
          <w:szCs w:val="32"/>
        </w:rPr>
        <w:t>，教师工作室5.5万元/</w:t>
      </w:r>
      <w:proofErr w:type="gramStart"/>
      <w:r>
        <w:rPr>
          <w:rFonts w:ascii="仿宋" w:eastAsia="仿宋" w:hAnsi="仿宋" w:hint="eastAsia"/>
          <w:color w:val="000000" w:themeColor="text1"/>
          <w:sz w:val="32"/>
          <w:szCs w:val="32"/>
        </w:rPr>
        <w:t>个</w:t>
      </w:r>
      <w:proofErr w:type="gramEnd"/>
      <w:r>
        <w:rPr>
          <w:rFonts w:ascii="仿宋" w:eastAsia="仿宋" w:hAnsi="仿宋" w:hint="eastAsia"/>
          <w:color w:val="000000" w:themeColor="text1"/>
          <w:sz w:val="32"/>
          <w:szCs w:val="32"/>
        </w:rPr>
        <w:t>。</w:t>
      </w:r>
    </w:p>
    <w:p w:rsidR="00C77B67"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10、海南师范大学支持地方高校改革发展项目，预算安排6,507.00万元。主要用于学校积极推进教育教学综合改革，教学基本建设取得显著成效。建有国家级实验教学示范中心1个，国家级人才培养模式创新实验区1个，国家一流本科专业建设点15个，国家级特色专业6个，国家级卓越教师培养计划改革项目1个。但本科教育教学和教学管理信息化水平还比较低，信息技术与教育教学深度融合程度不高，教学设备不能完全满足教育综合改革需求，师范生实践教学训练实效性有待提升。 学校现有教育部重点实验室3个，部委国别与区域研究基地2个，省级重点实验室7个，省级人文社科重点研究基地10个，省级工程研究中心4</w:t>
      </w:r>
      <w:r>
        <w:rPr>
          <w:rFonts w:ascii="仿宋" w:eastAsia="仿宋" w:hAnsi="仿宋" w:hint="eastAsia"/>
          <w:color w:val="000000" w:themeColor="text1"/>
          <w:sz w:val="32"/>
          <w:szCs w:val="32"/>
        </w:rPr>
        <w:lastRenderedPageBreak/>
        <w:t>个，为学校科研创新能力的提升提供了很好的支撑平台。但综合性、能共享、高标准的实验平台还比较缺乏，现有科研平台缺少一些必备的大型精密实验仪器设备，整体实验条件建设水平不高及学校各类公共服务体系建设项目。</w:t>
      </w:r>
    </w:p>
    <w:p w:rsidR="00C77B67"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11、海南师范大学实有账户资金项目，单位资金是17,340.00万元。主要用于代管项目、基建项目、往来款。绩效目标是：1、确保学校1月-12月实有账户资金正常支付2、确保学校实有账户3类项目资金正常支付3、提高学校资金支付效率。</w:t>
      </w:r>
    </w:p>
    <w:p w:rsidR="00C77B67" w:rsidRDefault="00C77B67">
      <w:pPr>
        <w:spacing w:line="560" w:lineRule="exact"/>
        <w:jc w:val="center"/>
        <w:rPr>
          <w:rFonts w:ascii="仿宋" w:eastAsia="仿宋" w:hAnsi="仿宋" w:cs="仿宋_GB2312" w:hint="eastAsia"/>
          <w:color w:val="000000" w:themeColor="text1"/>
          <w:sz w:val="32"/>
          <w:szCs w:val="32"/>
        </w:rPr>
      </w:pPr>
    </w:p>
    <w:p w:rsidR="00C77B67" w:rsidRDefault="00C77B67">
      <w:pPr>
        <w:spacing w:line="560" w:lineRule="exact"/>
        <w:jc w:val="left"/>
        <w:rPr>
          <w:rFonts w:ascii="仿宋" w:eastAsia="仿宋" w:hAnsi="仿宋" w:cs="宋体" w:hint="eastAsia"/>
          <w:color w:val="000000" w:themeColor="text1"/>
          <w:kern w:val="0"/>
          <w:sz w:val="32"/>
          <w:szCs w:val="32"/>
        </w:rPr>
      </w:pPr>
    </w:p>
    <w:p w:rsidR="00C77B67" w:rsidRDefault="00000000">
      <w:pPr>
        <w:spacing w:line="560" w:lineRule="exact"/>
        <w:jc w:val="center"/>
        <w:rPr>
          <w:rFonts w:ascii="仿宋" w:eastAsia="仿宋" w:hAnsi="仿宋" w:hint="eastAsia"/>
          <w:b/>
          <w:color w:val="000000" w:themeColor="text1"/>
          <w:sz w:val="32"/>
          <w:szCs w:val="32"/>
        </w:rPr>
      </w:pPr>
      <w:r>
        <w:rPr>
          <w:rFonts w:ascii="仿宋" w:eastAsia="仿宋" w:hAnsi="仿宋" w:hint="eastAsia"/>
          <w:b/>
          <w:color w:val="000000" w:themeColor="text1"/>
          <w:sz w:val="32"/>
          <w:szCs w:val="32"/>
        </w:rPr>
        <w:t>第四部分  名词解释</w:t>
      </w:r>
    </w:p>
    <w:p w:rsidR="00C77B67" w:rsidRDefault="00C77B67">
      <w:pPr>
        <w:spacing w:line="560" w:lineRule="exact"/>
        <w:ind w:firstLineChars="200" w:firstLine="640"/>
        <w:rPr>
          <w:rFonts w:ascii="仿宋" w:eastAsia="仿宋" w:hAnsi="仿宋" w:hint="eastAsia"/>
          <w:color w:val="000000" w:themeColor="text1"/>
          <w:sz w:val="32"/>
          <w:szCs w:val="32"/>
        </w:rPr>
      </w:pPr>
    </w:p>
    <w:p w:rsidR="00C77B67"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一、财政拨款收入：指本级财政当年拨付的资金。</w:t>
      </w:r>
    </w:p>
    <w:p w:rsidR="00C77B67"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二、一般公共预算拨款收入：指用于反映税收收入、专项收入、行政事业性收费收入、罚没收入、国有资源（资产）有偿使用收入、政府住房基金收入、捐赠收入等财政收入。</w:t>
      </w:r>
    </w:p>
    <w:p w:rsidR="00C77B67"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三、政府性基金预算拨款收入：指是用于反映政府为支持某项事业发展或特定基础设施建设，依法依规向公民、法人和其他组织征收的以及出让土地、发行彩票等方式取得的具有专门用途的资金</w:t>
      </w:r>
    </w:p>
    <w:p w:rsidR="00C77B67"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 xml:space="preserve">四、事业收入：指用于反映事业单位开展专业业务活动及辅助活动所取得的收入。 </w:t>
      </w:r>
    </w:p>
    <w:p w:rsidR="00C77B67"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五、事业单位经营收入：指用于反映事业单位在专业活动及辅</w:t>
      </w:r>
      <w:r>
        <w:rPr>
          <w:rFonts w:ascii="仿宋" w:eastAsia="仿宋" w:hAnsi="仿宋" w:hint="eastAsia"/>
          <w:color w:val="000000" w:themeColor="text1"/>
          <w:sz w:val="32"/>
          <w:szCs w:val="32"/>
        </w:rPr>
        <w:lastRenderedPageBreak/>
        <w:t>助活动之外开展非独立核算经营活动取得的收入。</w:t>
      </w:r>
    </w:p>
    <w:p w:rsidR="00C77B67"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六、其他收入：指除上述“财政拨款收入”“事业收入”“经营收入”等以外的收入。</w:t>
      </w:r>
    </w:p>
    <w:p w:rsidR="00C77B67"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七、上年结转：指以前年度尚未完成、结转到本年按有关规定继续使用的资金。</w:t>
      </w:r>
    </w:p>
    <w:p w:rsidR="00C77B67"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八、基本支出：指行政事业单位用于为保障其机构正常运转、完成日常工作任务而发生的人员支出和公用支出。</w:t>
      </w:r>
    </w:p>
    <w:p w:rsidR="00C77B67"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九、工资福利支出：反映单位开支的在职职工和编制</w:t>
      </w:r>
      <w:proofErr w:type="gramStart"/>
      <w:r>
        <w:rPr>
          <w:rFonts w:ascii="仿宋" w:eastAsia="仿宋" w:hAnsi="仿宋" w:hint="eastAsia"/>
          <w:color w:val="000000" w:themeColor="text1"/>
          <w:sz w:val="32"/>
          <w:szCs w:val="32"/>
        </w:rPr>
        <w:t>外长期</w:t>
      </w:r>
      <w:proofErr w:type="gramEnd"/>
      <w:r>
        <w:rPr>
          <w:rFonts w:ascii="仿宋" w:eastAsia="仿宋" w:hAnsi="仿宋" w:hint="eastAsia"/>
          <w:color w:val="000000" w:themeColor="text1"/>
          <w:sz w:val="32"/>
          <w:szCs w:val="32"/>
        </w:rPr>
        <w:t>聘用人员的各类劳动报酬，以及为上述人员缴纳的各项社会保险费等。</w:t>
      </w:r>
    </w:p>
    <w:p w:rsidR="00C77B67"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十、对个人和家庭的补助支出：反映政府用于对个人和家庭的补助支出，包括离休费、退休费、退职（役）费、抚恤金、生活补助、救济费、医疗费补助、助学金、独生子女奖励金、其他等。</w:t>
      </w:r>
    </w:p>
    <w:p w:rsidR="00C77B67"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十一、商品和服务支出：反映单位购买商品和服务的支出，包括办公费、水费、电费、邮电费、培训费、公务用车运行维护费、差旅费、因公出国（境）费用、公务接待费、工会经费、会议费、福利费、物业管理费、维修（护）费、其他等。</w:t>
      </w:r>
    </w:p>
    <w:p w:rsidR="00C77B67"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十二、项目支出：指各部门、各单位为完成其特定的工作任务和事业发展目标所发生的支出。</w:t>
      </w:r>
    </w:p>
    <w:p w:rsidR="00C77B67"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w:t>
      </w:r>
      <w:r>
        <w:rPr>
          <w:rFonts w:ascii="仿宋" w:eastAsia="仿宋" w:hAnsi="仿宋" w:hint="eastAsia"/>
          <w:color w:val="000000" w:themeColor="text1"/>
          <w:sz w:val="32"/>
          <w:szCs w:val="32"/>
        </w:rPr>
        <w:lastRenderedPageBreak/>
        <w:t>支出（</w:t>
      </w:r>
      <w:proofErr w:type="gramStart"/>
      <w:r>
        <w:rPr>
          <w:rFonts w:ascii="仿宋" w:eastAsia="仿宋" w:hAnsi="仿宋" w:hint="eastAsia"/>
          <w:color w:val="000000" w:themeColor="text1"/>
          <w:sz w:val="32"/>
          <w:szCs w:val="32"/>
        </w:rPr>
        <w:t>含车辆</w:t>
      </w:r>
      <w:proofErr w:type="gramEnd"/>
      <w:r>
        <w:rPr>
          <w:rFonts w:ascii="仿宋" w:eastAsia="仿宋" w:hAnsi="仿宋" w:hint="eastAsia"/>
          <w:color w:val="000000" w:themeColor="text1"/>
          <w:sz w:val="32"/>
          <w:szCs w:val="32"/>
        </w:rPr>
        <w:t>购置税）及燃料费、维修费、过路过桥费、保险费、安全奖励费用等支出；公务接待费指单位按规定开支的各类公务接待（含外宾接待）支出。</w:t>
      </w:r>
    </w:p>
    <w:p w:rsidR="00C77B67" w:rsidRDefault="00000000">
      <w:pPr>
        <w:spacing w:line="560" w:lineRule="exact"/>
        <w:ind w:firstLineChars="200" w:firstLine="640"/>
        <w:rPr>
          <w:rFonts w:ascii="仿宋" w:eastAsia="仿宋" w:hAnsi="仿宋" w:cs="宋体" w:hint="eastAsia"/>
          <w:color w:val="000000" w:themeColor="text1"/>
          <w:kern w:val="0"/>
          <w:sz w:val="32"/>
          <w:szCs w:val="32"/>
        </w:rPr>
      </w:pPr>
      <w:r>
        <w:rPr>
          <w:rFonts w:ascii="仿宋" w:eastAsia="仿宋" w:hAnsi="仿宋" w:hint="eastAsia"/>
          <w:color w:val="000000" w:themeColor="text1"/>
          <w:sz w:val="32"/>
          <w:szCs w:val="32"/>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rsidR="00C77B67" w:rsidRDefault="00C77B67">
      <w:pPr>
        <w:spacing w:line="560" w:lineRule="exact"/>
        <w:ind w:firstLineChars="200" w:firstLine="640"/>
        <w:rPr>
          <w:rFonts w:ascii="仿宋" w:eastAsia="仿宋" w:hAnsi="仿宋" w:cs="仿宋_GB2312" w:hint="eastAsia"/>
          <w:color w:val="000000" w:themeColor="text1"/>
          <w:sz w:val="32"/>
          <w:szCs w:val="32"/>
        </w:rPr>
      </w:pPr>
    </w:p>
    <w:p w:rsidR="00C77B67" w:rsidRDefault="00C77B67">
      <w:pPr>
        <w:ind w:firstLineChars="200" w:firstLine="640"/>
        <w:jc w:val="left"/>
        <w:rPr>
          <w:rFonts w:ascii="仿宋" w:eastAsia="仿宋" w:hAnsi="仿宋" w:cs="仿宋_GB2312" w:hint="eastAsia"/>
          <w:color w:val="000000" w:themeColor="text1"/>
          <w:sz w:val="32"/>
          <w:szCs w:val="32"/>
        </w:rPr>
      </w:pPr>
    </w:p>
    <w:p w:rsidR="00C77B67" w:rsidRDefault="00C77B67">
      <w:pPr>
        <w:ind w:firstLineChars="200" w:firstLine="640"/>
        <w:jc w:val="left"/>
        <w:rPr>
          <w:rFonts w:ascii="仿宋" w:eastAsia="仿宋" w:hAnsi="仿宋" w:cs="仿宋_GB2312" w:hint="eastAsia"/>
          <w:color w:val="000000" w:themeColor="text1"/>
          <w:sz w:val="32"/>
          <w:szCs w:val="32"/>
        </w:rPr>
      </w:pPr>
    </w:p>
    <w:sectPr w:rsidR="00C77B67">
      <w:footerReference w:type="default" r:id="rId9"/>
      <w:pgSz w:w="11906" w:h="16838"/>
      <w:pgMar w:top="1985" w:right="1418" w:bottom="1701" w:left="141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F82577" w:rsidRDefault="00F82577">
      <w:r>
        <w:separator/>
      </w:r>
    </w:p>
  </w:endnote>
  <w:endnote w:type="continuationSeparator" w:id="0">
    <w:p w:rsidR="00F82577" w:rsidRDefault="00F825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auto"/>
    <w:pitch w:val="default"/>
    <w:sig w:usb0="00000000" w:usb1="00000000" w:usb2="0000000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26891"/>
    </w:sdtPr>
    <w:sdtContent>
      <w:p w:rsidR="00C77B67" w:rsidRDefault="00000000">
        <w:pPr>
          <w:pStyle w:val="a5"/>
          <w:jc w:val="center"/>
        </w:pPr>
        <w:r>
          <w:fldChar w:fldCharType="begin"/>
        </w:r>
        <w:r>
          <w:instrText xml:space="preserve"> PAGE   \* MERGEFORMAT </w:instrText>
        </w:r>
        <w:r>
          <w:fldChar w:fldCharType="separate"/>
        </w:r>
        <w:r>
          <w:rPr>
            <w:lang w:val="zh-CN"/>
          </w:rPr>
          <w:t>14</w:t>
        </w:r>
        <w:r>
          <w:rPr>
            <w:lang w:val="zh-CN"/>
          </w:rPr>
          <w:fldChar w:fldCharType="end"/>
        </w:r>
      </w:p>
    </w:sdtContent>
  </w:sdt>
  <w:p w:rsidR="00C77B67" w:rsidRDefault="00C77B6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F82577" w:rsidRDefault="00F82577">
      <w:r>
        <w:separator/>
      </w:r>
    </w:p>
  </w:footnote>
  <w:footnote w:type="continuationSeparator" w:id="0">
    <w:p w:rsidR="00F82577" w:rsidRDefault="00F825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832B87"/>
    <w:multiLevelType w:val="multilevel"/>
    <w:tmpl w:val="05832B87"/>
    <w:lvl w:ilvl="0">
      <w:start w:val="1"/>
      <w:numFmt w:val="chineseCountingThousand"/>
      <w:lvlText w:val="第%1部分"/>
      <w:lvlJc w:val="left"/>
      <w:pPr>
        <w:ind w:left="203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24FD4A54"/>
    <w:multiLevelType w:val="multilevel"/>
    <w:tmpl w:val="24FD4A54"/>
    <w:lvl w:ilvl="0">
      <w:start w:val="1"/>
      <w:numFmt w:val="japaneseCounting"/>
      <w:lvlText w:val="%1、"/>
      <w:lvlJc w:val="left"/>
      <w:pPr>
        <w:ind w:left="720" w:hanging="720"/>
      </w:pPr>
      <w:rPr>
        <w:rFonts w:ascii="仿宋" w:eastAsia="仿宋" w:hAnsi="仿宋"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5A611727"/>
    <w:multiLevelType w:val="multilevel"/>
    <w:tmpl w:val="5A611727"/>
    <w:lvl w:ilvl="0">
      <w:start w:val="1"/>
      <w:numFmt w:val="japaneseCounting"/>
      <w:lvlText w:val="%1、"/>
      <w:lvlJc w:val="left"/>
      <w:pPr>
        <w:ind w:left="720" w:hanging="720"/>
      </w:pPr>
      <w:rPr>
        <w:rFonts w:ascii="仿宋_GB2312" w:eastAsia="仿宋_GB2312" w:hAnsi="仿宋_GB2312" w:cs="仿宋_GB2312"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761566104">
    <w:abstractNumId w:val="0"/>
  </w:num>
  <w:num w:numId="2" w16cid:durableId="141629158">
    <w:abstractNumId w:val="1"/>
  </w:num>
  <w:num w:numId="3" w16cid:durableId="66343247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420"/>
  <w:drawingGridHorizontalSpacing w:val="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4520"/>
    <w:rsid w:val="ABBF3834"/>
    <w:rsid w:val="D97F626E"/>
    <w:rsid w:val="FC6FBB23"/>
    <w:rsid w:val="FF5F5C3D"/>
    <w:rsid w:val="FF7C1A10"/>
    <w:rsid w:val="00001E1B"/>
    <w:rsid w:val="00002A2D"/>
    <w:rsid w:val="00023449"/>
    <w:rsid w:val="0002676F"/>
    <w:rsid w:val="000310C6"/>
    <w:rsid w:val="00071109"/>
    <w:rsid w:val="00072C98"/>
    <w:rsid w:val="00090297"/>
    <w:rsid w:val="000A1441"/>
    <w:rsid w:val="000C2574"/>
    <w:rsid w:val="000C3AE0"/>
    <w:rsid w:val="000C5392"/>
    <w:rsid w:val="000D11FD"/>
    <w:rsid w:val="000D5500"/>
    <w:rsid w:val="000D655B"/>
    <w:rsid w:val="000E771A"/>
    <w:rsid w:val="000F118D"/>
    <w:rsid w:val="000F458E"/>
    <w:rsid w:val="000F7A58"/>
    <w:rsid w:val="00125CEC"/>
    <w:rsid w:val="00131AAD"/>
    <w:rsid w:val="001344B5"/>
    <w:rsid w:val="001356C3"/>
    <w:rsid w:val="00144922"/>
    <w:rsid w:val="00150A27"/>
    <w:rsid w:val="00153645"/>
    <w:rsid w:val="00154058"/>
    <w:rsid w:val="00181041"/>
    <w:rsid w:val="00195D2A"/>
    <w:rsid w:val="001967BF"/>
    <w:rsid w:val="001A4C19"/>
    <w:rsid w:val="001C4610"/>
    <w:rsid w:val="001F7821"/>
    <w:rsid w:val="00203832"/>
    <w:rsid w:val="00204707"/>
    <w:rsid w:val="00207904"/>
    <w:rsid w:val="00211E95"/>
    <w:rsid w:val="002121CF"/>
    <w:rsid w:val="00217E50"/>
    <w:rsid w:val="00220C5A"/>
    <w:rsid w:val="00240EAE"/>
    <w:rsid w:val="00243744"/>
    <w:rsid w:val="0024465C"/>
    <w:rsid w:val="0024489B"/>
    <w:rsid w:val="00244B0C"/>
    <w:rsid w:val="00245982"/>
    <w:rsid w:val="00254281"/>
    <w:rsid w:val="00256062"/>
    <w:rsid w:val="002613DD"/>
    <w:rsid w:val="00284E8C"/>
    <w:rsid w:val="0029766B"/>
    <w:rsid w:val="002B1902"/>
    <w:rsid w:val="002C00F7"/>
    <w:rsid w:val="002C3FC1"/>
    <w:rsid w:val="002D13A1"/>
    <w:rsid w:val="002D3182"/>
    <w:rsid w:val="002E4AAF"/>
    <w:rsid w:val="002E5B17"/>
    <w:rsid w:val="002F1F26"/>
    <w:rsid w:val="002F51D3"/>
    <w:rsid w:val="002F6B89"/>
    <w:rsid w:val="002F6D45"/>
    <w:rsid w:val="003219D8"/>
    <w:rsid w:val="00341407"/>
    <w:rsid w:val="003558E2"/>
    <w:rsid w:val="003578E0"/>
    <w:rsid w:val="0036664B"/>
    <w:rsid w:val="0037163E"/>
    <w:rsid w:val="0038743F"/>
    <w:rsid w:val="0039129B"/>
    <w:rsid w:val="003A13C9"/>
    <w:rsid w:val="003A6C27"/>
    <w:rsid w:val="003B6A30"/>
    <w:rsid w:val="003C34CF"/>
    <w:rsid w:val="003C3F01"/>
    <w:rsid w:val="003D1924"/>
    <w:rsid w:val="003D4058"/>
    <w:rsid w:val="003F5C35"/>
    <w:rsid w:val="00402755"/>
    <w:rsid w:val="004053F0"/>
    <w:rsid w:val="004139F1"/>
    <w:rsid w:val="0041692C"/>
    <w:rsid w:val="00441D9F"/>
    <w:rsid w:val="00442573"/>
    <w:rsid w:val="0045158B"/>
    <w:rsid w:val="00476245"/>
    <w:rsid w:val="004920CA"/>
    <w:rsid w:val="00495582"/>
    <w:rsid w:val="004A6121"/>
    <w:rsid w:val="004B3C38"/>
    <w:rsid w:val="004C1541"/>
    <w:rsid w:val="004C5235"/>
    <w:rsid w:val="00523A80"/>
    <w:rsid w:val="0052419C"/>
    <w:rsid w:val="00527EB4"/>
    <w:rsid w:val="00541D03"/>
    <w:rsid w:val="00573972"/>
    <w:rsid w:val="0057446E"/>
    <w:rsid w:val="0057745F"/>
    <w:rsid w:val="00587859"/>
    <w:rsid w:val="005A09D4"/>
    <w:rsid w:val="005A7F13"/>
    <w:rsid w:val="005C1D85"/>
    <w:rsid w:val="005C243C"/>
    <w:rsid w:val="005C3E0E"/>
    <w:rsid w:val="005D04A2"/>
    <w:rsid w:val="005D2ED9"/>
    <w:rsid w:val="005E1822"/>
    <w:rsid w:val="005E1FB3"/>
    <w:rsid w:val="005E3C19"/>
    <w:rsid w:val="005E3D54"/>
    <w:rsid w:val="005E77D2"/>
    <w:rsid w:val="005F1487"/>
    <w:rsid w:val="00610F53"/>
    <w:rsid w:val="00646C33"/>
    <w:rsid w:val="0065094B"/>
    <w:rsid w:val="00652DED"/>
    <w:rsid w:val="006555D6"/>
    <w:rsid w:val="00655DF4"/>
    <w:rsid w:val="00660D35"/>
    <w:rsid w:val="0066396C"/>
    <w:rsid w:val="00663AA6"/>
    <w:rsid w:val="0066505D"/>
    <w:rsid w:val="006665D3"/>
    <w:rsid w:val="006939AA"/>
    <w:rsid w:val="006A2060"/>
    <w:rsid w:val="006A58B0"/>
    <w:rsid w:val="006A6B73"/>
    <w:rsid w:val="006C3F9E"/>
    <w:rsid w:val="006C5899"/>
    <w:rsid w:val="006F3F9B"/>
    <w:rsid w:val="006F4520"/>
    <w:rsid w:val="006F7283"/>
    <w:rsid w:val="00704C5D"/>
    <w:rsid w:val="00705C53"/>
    <w:rsid w:val="00706E9B"/>
    <w:rsid w:val="00710FC1"/>
    <w:rsid w:val="00726165"/>
    <w:rsid w:val="0073538F"/>
    <w:rsid w:val="00735C9F"/>
    <w:rsid w:val="00740C64"/>
    <w:rsid w:val="00741854"/>
    <w:rsid w:val="007461F6"/>
    <w:rsid w:val="007502AB"/>
    <w:rsid w:val="00755CC0"/>
    <w:rsid w:val="00756732"/>
    <w:rsid w:val="00760755"/>
    <w:rsid w:val="0078003C"/>
    <w:rsid w:val="00786BC7"/>
    <w:rsid w:val="00796700"/>
    <w:rsid w:val="007B006C"/>
    <w:rsid w:val="007B0BDF"/>
    <w:rsid w:val="007B605E"/>
    <w:rsid w:val="007C4A61"/>
    <w:rsid w:val="007E2E24"/>
    <w:rsid w:val="007E3859"/>
    <w:rsid w:val="007E763D"/>
    <w:rsid w:val="008124D4"/>
    <w:rsid w:val="00824BE8"/>
    <w:rsid w:val="00832CE3"/>
    <w:rsid w:val="008511E7"/>
    <w:rsid w:val="0086127F"/>
    <w:rsid w:val="0086524D"/>
    <w:rsid w:val="00880E09"/>
    <w:rsid w:val="008B5B86"/>
    <w:rsid w:val="008D0A41"/>
    <w:rsid w:val="008D3436"/>
    <w:rsid w:val="008E5023"/>
    <w:rsid w:val="008E7CA0"/>
    <w:rsid w:val="0095259E"/>
    <w:rsid w:val="00972454"/>
    <w:rsid w:val="00994BAD"/>
    <w:rsid w:val="009B3E48"/>
    <w:rsid w:val="009B4279"/>
    <w:rsid w:val="009B4493"/>
    <w:rsid w:val="009C7075"/>
    <w:rsid w:val="009D0B2E"/>
    <w:rsid w:val="009E0672"/>
    <w:rsid w:val="009E4D50"/>
    <w:rsid w:val="009E657D"/>
    <w:rsid w:val="00A109DA"/>
    <w:rsid w:val="00A44297"/>
    <w:rsid w:val="00A55D08"/>
    <w:rsid w:val="00A56305"/>
    <w:rsid w:val="00A6302F"/>
    <w:rsid w:val="00A655E6"/>
    <w:rsid w:val="00A76EEC"/>
    <w:rsid w:val="00A86E44"/>
    <w:rsid w:val="00AA0402"/>
    <w:rsid w:val="00AB4FAE"/>
    <w:rsid w:val="00AB6C9E"/>
    <w:rsid w:val="00AC1F16"/>
    <w:rsid w:val="00AC75ED"/>
    <w:rsid w:val="00AD317A"/>
    <w:rsid w:val="00AD5173"/>
    <w:rsid w:val="00AD635C"/>
    <w:rsid w:val="00AD6DF0"/>
    <w:rsid w:val="00AF07E3"/>
    <w:rsid w:val="00AF34C2"/>
    <w:rsid w:val="00AF7EA4"/>
    <w:rsid w:val="00B018A3"/>
    <w:rsid w:val="00B14504"/>
    <w:rsid w:val="00B23E63"/>
    <w:rsid w:val="00B278B2"/>
    <w:rsid w:val="00B3561F"/>
    <w:rsid w:val="00B359C7"/>
    <w:rsid w:val="00B40C9F"/>
    <w:rsid w:val="00B52477"/>
    <w:rsid w:val="00B735C9"/>
    <w:rsid w:val="00B74984"/>
    <w:rsid w:val="00B8148A"/>
    <w:rsid w:val="00B87E4F"/>
    <w:rsid w:val="00B903D3"/>
    <w:rsid w:val="00B90BCA"/>
    <w:rsid w:val="00B963E8"/>
    <w:rsid w:val="00BA0E55"/>
    <w:rsid w:val="00BB2966"/>
    <w:rsid w:val="00BB2ECD"/>
    <w:rsid w:val="00BE0F41"/>
    <w:rsid w:val="00BF1734"/>
    <w:rsid w:val="00C02C80"/>
    <w:rsid w:val="00C14BE8"/>
    <w:rsid w:val="00C159AC"/>
    <w:rsid w:val="00C15AF3"/>
    <w:rsid w:val="00C17202"/>
    <w:rsid w:val="00C3099A"/>
    <w:rsid w:val="00C405BC"/>
    <w:rsid w:val="00C422B8"/>
    <w:rsid w:val="00C504D4"/>
    <w:rsid w:val="00C51E77"/>
    <w:rsid w:val="00C638FC"/>
    <w:rsid w:val="00C73F4F"/>
    <w:rsid w:val="00C75CA4"/>
    <w:rsid w:val="00C77B67"/>
    <w:rsid w:val="00C90BA2"/>
    <w:rsid w:val="00C9424C"/>
    <w:rsid w:val="00CA6AF9"/>
    <w:rsid w:val="00CB5F9A"/>
    <w:rsid w:val="00CD00AD"/>
    <w:rsid w:val="00CD0BBD"/>
    <w:rsid w:val="00CD53E6"/>
    <w:rsid w:val="00CE2FB6"/>
    <w:rsid w:val="00CE4777"/>
    <w:rsid w:val="00CE777C"/>
    <w:rsid w:val="00CF3517"/>
    <w:rsid w:val="00CF471C"/>
    <w:rsid w:val="00D03B6D"/>
    <w:rsid w:val="00D27857"/>
    <w:rsid w:val="00D316D9"/>
    <w:rsid w:val="00D32DD9"/>
    <w:rsid w:val="00D43CDA"/>
    <w:rsid w:val="00D46641"/>
    <w:rsid w:val="00D73CE5"/>
    <w:rsid w:val="00D821A1"/>
    <w:rsid w:val="00D94D3B"/>
    <w:rsid w:val="00D97D0D"/>
    <w:rsid w:val="00DC12FA"/>
    <w:rsid w:val="00DC4C91"/>
    <w:rsid w:val="00DE0DE1"/>
    <w:rsid w:val="00DE4BE7"/>
    <w:rsid w:val="00E07B67"/>
    <w:rsid w:val="00E11C70"/>
    <w:rsid w:val="00E15FEF"/>
    <w:rsid w:val="00E22E94"/>
    <w:rsid w:val="00E246EE"/>
    <w:rsid w:val="00E3018B"/>
    <w:rsid w:val="00E34CFA"/>
    <w:rsid w:val="00E365DA"/>
    <w:rsid w:val="00E37859"/>
    <w:rsid w:val="00E511E0"/>
    <w:rsid w:val="00E52FC6"/>
    <w:rsid w:val="00E612E0"/>
    <w:rsid w:val="00E65B8A"/>
    <w:rsid w:val="00E75151"/>
    <w:rsid w:val="00E86ABA"/>
    <w:rsid w:val="00E94015"/>
    <w:rsid w:val="00EA2A74"/>
    <w:rsid w:val="00EB2F38"/>
    <w:rsid w:val="00ED67F4"/>
    <w:rsid w:val="00ED7F7E"/>
    <w:rsid w:val="00EE7FD5"/>
    <w:rsid w:val="00EF5348"/>
    <w:rsid w:val="00F070CC"/>
    <w:rsid w:val="00F073ED"/>
    <w:rsid w:val="00F13322"/>
    <w:rsid w:val="00F35C50"/>
    <w:rsid w:val="00F46233"/>
    <w:rsid w:val="00F5474B"/>
    <w:rsid w:val="00F77826"/>
    <w:rsid w:val="00F82577"/>
    <w:rsid w:val="00F900B0"/>
    <w:rsid w:val="00F93812"/>
    <w:rsid w:val="00FA179B"/>
    <w:rsid w:val="00FA3031"/>
    <w:rsid w:val="00FB2D72"/>
    <w:rsid w:val="00FB3A89"/>
    <w:rsid w:val="00FC2AF2"/>
    <w:rsid w:val="00FF7B82"/>
    <w:rsid w:val="03F412AE"/>
    <w:rsid w:val="14883E42"/>
    <w:rsid w:val="1537775D"/>
    <w:rsid w:val="284B44C2"/>
    <w:rsid w:val="535C448D"/>
    <w:rsid w:val="6FDB1131"/>
    <w:rsid w:val="759E5A72"/>
    <w:rsid w:val="7BF736D2"/>
    <w:rsid w:val="7EFDD5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B5A2E67-17D1-4220-AD50-C32132BE9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99" w:unhideWhenUsed="1" w:qFormat="1"/>
    <w:lsdException w:name="footer"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semiHidden/>
    <w:unhideWhenUsed/>
    <w:qFormat/>
    <w:pPr>
      <w:jc w:val="left"/>
    </w:pPr>
    <w:rPr>
      <w:rFonts w:cs="Times New Roman"/>
      <w:kern w:val="0"/>
      <w:szCs w:val="21"/>
    </w:rPr>
  </w:style>
  <w:style w:type="character" w:styleId="aa">
    <w:name w:val="Strong"/>
    <w:basedOn w:val="a0"/>
    <w:uiPriority w:val="22"/>
    <w:qFormat/>
    <w:rPr>
      <w:b/>
    </w:rPr>
  </w:style>
  <w:style w:type="character" w:styleId="ab">
    <w:name w:val="FollowedHyperlink"/>
    <w:basedOn w:val="a0"/>
    <w:semiHidden/>
    <w:unhideWhenUsed/>
    <w:rPr>
      <w:color w:val="555555"/>
      <w:u w:val="none"/>
    </w:rPr>
  </w:style>
  <w:style w:type="character" w:styleId="ac">
    <w:name w:val="Emphasis"/>
    <w:basedOn w:val="a0"/>
    <w:uiPriority w:val="20"/>
    <w:qFormat/>
  </w:style>
  <w:style w:type="character" w:styleId="ad">
    <w:name w:val="Hyperlink"/>
    <w:basedOn w:val="a0"/>
    <w:semiHidden/>
    <w:unhideWhenUsed/>
    <w:qFormat/>
    <w:rPr>
      <w:color w:val="555555"/>
      <w:u w:val="none"/>
    </w:rPr>
  </w:style>
  <w:style w:type="paragraph" w:customStyle="1" w:styleId="1">
    <w:name w:val="列出段落1"/>
    <w:basedOn w:val="a"/>
    <w:uiPriority w:val="34"/>
    <w:qFormat/>
    <w:pPr>
      <w:ind w:firstLineChars="200" w:firstLine="420"/>
    </w:pPr>
  </w:style>
  <w:style w:type="paragraph" w:customStyle="1" w:styleId="1CharCharChar">
    <w:name w:val="正文1 Char Char Char"/>
    <w:basedOn w:val="a"/>
    <w:qFormat/>
    <w:pPr>
      <w:widowControl/>
      <w:spacing w:line="360" w:lineRule="auto"/>
      <w:ind w:firstLineChars="200" w:firstLine="200"/>
      <w:jc w:val="left"/>
    </w:pPr>
    <w:rPr>
      <w:rFonts w:ascii="宋体" w:hAnsi="宋体" w:cs="宋体"/>
      <w:kern w:val="0"/>
      <w:sz w:val="24"/>
      <w:szCs w:val="24"/>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a4">
    <w:name w:val="批注框文本 字符"/>
    <w:basedOn w:val="a0"/>
    <w:link w:val="a3"/>
    <w:semiHidden/>
    <w:qFormat/>
    <w:rPr>
      <w:rFonts w:ascii="Calibri" w:hAnsi="Calibri" w:cs="黑体"/>
      <w:kern w:val="2"/>
      <w:sz w:val="18"/>
      <w:szCs w:val="18"/>
    </w:rPr>
  </w:style>
  <w:style w:type="paragraph" w:styleId="ae">
    <w:name w:val="List Paragraph"/>
    <w:basedOn w:val="a"/>
    <w:uiPriority w:val="99"/>
    <w:unhideWhenUsed/>
    <w:qFormat/>
    <w:pPr>
      <w:ind w:firstLineChars="200" w:firstLine="420"/>
    </w:pPr>
  </w:style>
  <w:style w:type="character" w:customStyle="1" w:styleId="hover8">
    <w:name w:val="hover8"/>
    <w:basedOn w:val="a0"/>
    <w:rPr>
      <w:color w:val="FFFFFF"/>
      <w:shd w:val="clear" w:color="auto" w:fill="F1430E"/>
    </w:rPr>
  </w:style>
  <w:style w:type="character" w:customStyle="1" w:styleId="on">
    <w:name w:val="on"/>
    <w:basedOn w:val="a0"/>
    <w:qFormat/>
    <w:rPr>
      <w:color w:val="FFFFFF"/>
      <w:shd w:val="clear" w:color="auto" w:fill="F1430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0F7A57B-E167-4BBE-A1BD-57B237B2F3E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~WRL0003.tmp</Template>
  <TotalTime>52</TotalTime>
  <Pages>1</Pages>
  <Words>1618</Words>
  <Characters>9225</Characters>
  <Application>Microsoft Office Word</Application>
  <DocSecurity>0</DocSecurity>
  <Lines>76</Lines>
  <Paragraphs>21</Paragraphs>
  <ScaleCrop>false</ScaleCrop>
  <Company>HP</Company>
  <LinksUpToDate>false</LinksUpToDate>
  <CharactersWithSpaces>10822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××年××部门（单位）预算</dc:title>
  <dc:creator>null,null,总收发</dc:creator>
  <cp:lastModifiedBy>jack zhong</cp:lastModifiedBy>
  <cp:revision>14</cp:revision>
  <cp:lastPrinted>2022-02-24T01:36:00Z</cp:lastPrinted>
  <dcterms:created xsi:type="dcterms:W3CDTF">2024-02-05T02:45:00Z</dcterms:created>
  <dcterms:modified xsi:type="dcterms:W3CDTF">2024-07-26T08:13:00Z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FBDE059AA2EF4589A1467D24A9AE1029</vt:lpwstr>
  </property>
</Properties>
</file>